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427846">
      <w:pPr>
        <w:jc w:val="center"/>
        <w:rPr>
          <w:sz w:val="32"/>
          <w:szCs w:val="32"/>
        </w:rPr>
      </w:pPr>
    </w:p>
    <w:p w14:paraId="0CDB5858">
      <w:pPr>
        <w:jc w:val="center"/>
        <w:rPr>
          <w:sz w:val="32"/>
          <w:szCs w:val="32"/>
        </w:rPr>
      </w:pPr>
    </w:p>
    <w:p w14:paraId="7B0A323A">
      <w:pPr>
        <w:jc w:val="center"/>
        <w:rPr>
          <w:sz w:val="32"/>
          <w:szCs w:val="32"/>
        </w:rPr>
      </w:pPr>
    </w:p>
    <w:p w14:paraId="56D305EF">
      <w:pPr>
        <w:jc w:val="center"/>
        <w:rPr>
          <w:sz w:val="32"/>
          <w:szCs w:val="32"/>
        </w:rPr>
      </w:pPr>
    </w:p>
    <w:p w14:paraId="14143BD9">
      <w:pPr>
        <w:jc w:val="center"/>
        <w:rPr>
          <w:sz w:val="32"/>
          <w:szCs w:val="32"/>
        </w:rPr>
      </w:pPr>
    </w:p>
    <w:p w14:paraId="63D7F919">
      <w:pPr>
        <w:jc w:val="center"/>
        <w:rPr>
          <w:sz w:val="32"/>
          <w:szCs w:val="32"/>
        </w:rPr>
      </w:pPr>
    </w:p>
    <w:p w14:paraId="5DB815E7">
      <w:pPr>
        <w:jc w:val="center"/>
        <w:rPr>
          <w:rFonts w:ascii="黑体" w:hAnsi="黑体" w:eastAsia="黑体"/>
          <w:sz w:val="44"/>
          <w:szCs w:val="44"/>
        </w:rPr>
      </w:pPr>
      <w:r>
        <w:rPr>
          <w:rFonts w:hint="eastAsia" w:ascii="黑体" w:hAnsi="黑体" w:eastAsia="黑体"/>
          <w:sz w:val="44"/>
          <w:szCs w:val="44"/>
        </w:rPr>
        <w:t>昌都市草原生态保护修复和草业发展规划</w:t>
      </w:r>
    </w:p>
    <w:p w14:paraId="704065FC">
      <w:pPr>
        <w:jc w:val="center"/>
        <w:rPr>
          <w:rFonts w:hint="eastAsia" w:ascii="黑体" w:hAnsi="黑体" w:eastAsia="黑体"/>
          <w:sz w:val="44"/>
          <w:szCs w:val="44"/>
        </w:rPr>
      </w:pPr>
      <w:r>
        <w:rPr>
          <w:rFonts w:hint="eastAsia" w:ascii="黑体" w:hAnsi="黑体" w:eastAsia="黑体"/>
          <w:sz w:val="44"/>
          <w:szCs w:val="44"/>
        </w:rPr>
        <w:t>（2026-2035年）</w:t>
      </w:r>
    </w:p>
    <w:p w14:paraId="52F6CEBC">
      <w:pPr>
        <w:jc w:val="center"/>
        <w:rPr>
          <w:rFonts w:hint="eastAsia" w:asciiTheme="minorEastAsia" w:hAnsiTheme="minorEastAsia" w:eastAsiaTheme="minorEastAsia" w:cstheme="minorEastAsia"/>
          <w:color w:val="0000FF"/>
          <w:sz w:val="30"/>
          <w:szCs w:val="30"/>
        </w:rPr>
      </w:pPr>
      <w:r>
        <w:rPr>
          <w:rFonts w:hint="eastAsia" w:asciiTheme="minorEastAsia" w:hAnsiTheme="minorEastAsia" w:eastAsiaTheme="minorEastAsia" w:cstheme="minorEastAsia"/>
          <w:color w:val="0000FF"/>
          <w:sz w:val="30"/>
          <w:szCs w:val="30"/>
        </w:rPr>
        <w:t>（报批稿）</w:t>
      </w:r>
    </w:p>
    <w:p w14:paraId="73653070">
      <w:pPr>
        <w:jc w:val="center"/>
        <w:rPr>
          <w:sz w:val="32"/>
          <w:szCs w:val="32"/>
        </w:rPr>
      </w:pPr>
    </w:p>
    <w:p w14:paraId="2DDDA584">
      <w:pPr>
        <w:jc w:val="center"/>
        <w:rPr>
          <w:sz w:val="32"/>
          <w:szCs w:val="32"/>
        </w:rPr>
      </w:pPr>
    </w:p>
    <w:p w14:paraId="2F656A3B">
      <w:pPr>
        <w:jc w:val="center"/>
        <w:rPr>
          <w:sz w:val="32"/>
          <w:szCs w:val="32"/>
        </w:rPr>
      </w:pPr>
    </w:p>
    <w:p w14:paraId="6172799D">
      <w:pPr>
        <w:jc w:val="center"/>
        <w:rPr>
          <w:sz w:val="32"/>
          <w:szCs w:val="32"/>
        </w:rPr>
      </w:pPr>
    </w:p>
    <w:p w14:paraId="41E29DA1">
      <w:pPr>
        <w:jc w:val="center"/>
        <w:rPr>
          <w:sz w:val="32"/>
          <w:szCs w:val="32"/>
        </w:rPr>
      </w:pPr>
    </w:p>
    <w:p w14:paraId="00655F9A">
      <w:pPr>
        <w:jc w:val="center"/>
        <w:rPr>
          <w:sz w:val="32"/>
          <w:szCs w:val="32"/>
        </w:rPr>
      </w:pPr>
    </w:p>
    <w:p w14:paraId="4C59CAEF">
      <w:pPr>
        <w:jc w:val="center"/>
        <w:rPr>
          <w:sz w:val="32"/>
          <w:szCs w:val="32"/>
        </w:rPr>
      </w:pPr>
    </w:p>
    <w:p w14:paraId="610990BC">
      <w:pPr>
        <w:jc w:val="center"/>
        <w:rPr>
          <w:sz w:val="32"/>
          <w:szCs w:val="32"/>
        </w:rPr>
      </w:pPr>
    </w:p>
    <w:p w14:paraId="0E7C2CDF">
      <w:pPr>
        <w:jc w:val="center"/>
        <w:rPr>
          <w:sz w:val="32"/>
          <w:szCs w:val="32"/>
        </w:rPr>
      </w:pPr>
    </w:p>
    <w:p w14:paraId="220481ED">
      <w:pPr>
        <w:jc w:val="center"/>
        <w:rPr>
          <w:sz w:val="32"/>
          <w:szCs w:val="32"/>
        </w:rPr>
      </w:pPr>
    </w:p>
    <w:p w14:paraId="53C05A97">
      <w:pPr>
        <w:jc w:val="center"/>
        <w:rPr>
          <w:sz w:val="32"/>
          <w:szCs w:val="32"/>
        </w:rPr>
      </w:pPr>
    </w:p>
    <w:p w14:paraId="4F5C3DB2">
      <w:pPr>
        <w:jc w:val="center"/>
        <w:rPr>
          <w:sz w:val="32"/>
          <w:szCs w:val="32"/>
        </w:rPr>
      </w:pPr>
    </w:p>
    <w:p w14:paraId="3F8B69D0">
      <w:pPr>
        <w:jc w:val="center"/>
        <w:rPr>
          <w:sz w:val="32"/>
          <w:szCs w:val="32"/>
        </w:rPr>
      </w:pPr>
    </w:p>
    <w:p w14:paraId="2F930A7D">
      <w:pPr>
        <w:jc w:val="center"/>
        <w:rPr>
          <w:sz w:val="32"/>
          <w:szCs w:val="32"/>
        </w:rPr>
      </w:pPr>
    </w:p>
    <w:p w14:paraId="6528A46C">
      <w:pPr>
        <w:jc w:val="center"/>
        <w:rPr>
          <w:sz w:val="32"/>
          <w:szCs w:val="32"/>
        </w:rPr>
      </w:pPr>
    </w:p>
    <w:p w14:paraId="446FE682">
      <w:pPr>
        <w:jc w:val="center"/>
        <w:rPr>
          <w:sz w:val="32"/>
          <w:szCs w:val="32"/>
        </w:rPr>
      </w:pPr>
    </w:p>
    <w:p w14:paraId="631DDE53">
      <w:pPr>
        <w:jc w:val="center"/>
        <w:rPr>
          <w:sz w:val="32"/>
          <w:szCs w:val="32"/>
        </w:rPr>
      </w:pPr>
    </w:p>
    <w:p w14:paraId="788272AE">
      <w:pPr>
        <w:jc w:val="center"/>
        <w:rPr>
          <w:sz w:val="32"/>
          <w:szCs w:val="32"/>
        </w:rPr>
      </w:pPr>
    </w:p>
    <w:p w14:paraId="5B2DA86E">
      <w:pPr>
        <w:jc w:val="center"/>
        <w:rPr>
          <w:rFonts w:ascii="黑体" w:hAnsi="黑体" w:eastAsia="黑体"/>
          <w:sz w:val="32"/>
          <w:szCs w:val="32"/>
        </w:rPr>
      </w:pPr>
      <w:r>
        <w:rPr>
          <w:rFonts w:hint="eastAsia" w:ascii="黑体" w:hAnsi="黑体" w:eastAsia="黑体"/>
          <w:sz w:val="32"/>
          <w:szCs w:val="32"/>
        </w:rPr>
        <w:t>昌都市林业和草原局</w:t>
      </w:r>
    </w:p>
    <w:p w14:paraId="309EDB35">
      <w:pPr>
        <w:jc w:val="center"/>
        <w:rPr>
          <w:rFonts w:ascii="黑体" w:hAnsi="黑体" w:eastAsia="黑体"/>
          <w:color w:val="1901FB"/>
          <w:sz w:val="32"/>
          <w:szCs w:val="32"/>
        </w:rPr>
      </w:pPr>
      <w:r>
        <w:rPr>
          <w:rFonts w:hint="eastAsia" w:ascii="黑体" w:hAnsi="黑体" w:eastAsia="黑体"/>
          <w:color w:val="1901FB"/>
          <w:sz w:val="32"/>
          <w:szCs w:val="32"/>
        </w:rPr>
        <w:t>2026年</w:t>
      </w:r>
      <w:r>
        <w:rPr>
          <w:rFonts w:hint="eastAsia" w:ascii="黑体" w:hAnsi="黑体" w:eastAsia="黑体"/>
          <w:color w:val="1901FB"/>
          <w:sz w:val="32"/>
          <w:szCs w:val="32"/>
          <w:lang w:val="en-US" w:eastAsia="zh-CN"/>
        </w:rPr>
        <w:t>4</w:t>
      </w:r>
      <w:r>
        <w:rPr>
          <w:rFonts w:hint="eastAsia" w:ascii="黑体" w:hAnsi="黑体" w:eastAsia="黑体"/>
          <w:color w:val="1901FB"/>
          <w:sz w:val="32"/>
          <w:szCs w:val="32"/>
        </w:rPr>
        <w:t>月</w:t>
      </w:r>
    </w:p>
    <w:p w14:paraId="11BB301A">
      <w:pPr>
        <w:jc w:val="center"/>
        <w:rPr>
          <w:rFonts w:hint="eastAsia"/>
          <w:b/>
          <w:bCs/>
          <w:sz w:val="32"/>
          <w:szCs w:val="32"/>
        </w:rPr>
        <w:sectPr>
          <w:headerReference r:id="rId3" w:type="default"/>
          <w:footerReference r:id="rId4" w:type="default"/>
          <w:pgSz w:w="11906" w:h="16838"/>
          <w:pgMar w:top="1459" w:right="1268" w:bottom="1222" w:left="1687" w:header="1092" w:footer="1059" w:gutter="0"/>
          <w:pgNumType w:fmt="numberInDash"/>
          <w:cols w:space="720" w:num="1"/>
        </w:sectPr>
      </w:pPr>
    </w:p>
    <w:p w14:paraId="566E3728">
      <w:pPr>
        <w:jc w:val="center"/>
        <w:rPr>
          <w:b/>
          <w:bCs/>
          <w:sz w:val="32"/>
          <w:szCs w:val="32"/>
        </w:rPr>
      </w:pPr>
      <w:r>
        <w:rPr>
          <w:rFonts w:hint="eastAsia"/>
          <w:b/>
          <w:bCs/>
          <w:sz w:val="32"/>
          <w:szCs w:val="32"/>
        </w:rPr>
        <w:t>前言</w:t>
      </w:r>
    </w:p>
    <w:p w14:paraId="1554923C">
      <w:pPr>
        <w:spacing w:line="360" w:lineRule="auto"/>
        <w:ind w:left="23" w:right="74" w:firstLine="480" w:firstLineChars="200"/>
        <w:rPr>
          <w:rFonts w:ascii="宋体" w:hAnsi="宋体" w:eastAsia="宋体" w:cs="宋体"/>
          <w:sz w:val="24"/>
          <w:szCs w:val="24"/>
        </w:rPr>
      </w:pPr>
      <w:r>
        <w:rPr>
          <w:rFonts w:ascii="宋体" w:hAnsi="宋体" w:eastAsia="宋体" w:cs="宋体"/>
          <w:sz w:val="24"/>
          <w:szCs w:val="24"/>
        </w:rPr>
        <w:t>草原作为地球生态系统的重要组成部分，是维护国家生态安全的基础性、战略性资源，在调节气候、涵养水源、保持水土、维护生物多样性等方面发挥着不可替代的作用。西藏自治区作为我国重要的生态安全屏障，草原面积占全国近三分之一，而昌都市地处藏东横断山脉腹地，是金沙江、澜沧江、怒江“三江”上游核心生态保护区，境内草原不仅是青藏高原高寒生态系统的典型代表，更是维系“三江”流域生态平衡、保障下游地区生态安全的关键屏障，同时承载着当地各族群众生产生活、文化传承与边疆稳定的多重使命。</w:t>
      </w:r>
    </w:p>
    <w:p w14:paraId="3F151842">
      <w:pPr>
        <w:spacing w:line="360" w:lineRule="auto"/>
        <w:ind w:left="24" w:right="76" w:firstLine="480" w:firstLineChars="200"/>
        <w:rPr>
          <w:rFonts w:ascii="宋体" w:hAnsi="宋体" w:eastAsia="宋体" w:cs="宋体"/>
          <w:sz w:val="24"/>
          <w:szCs w:val="24"/>
        </w:rPr>
      </w:pPr>
      <w:r>
        <w:rPr>
          <w:rFonts w:ascii="宋体" w:hAnsi="宋体" w:eastAsia="宋体" w:cs="宋体"/>
          <w:sz w:val="24"/>
          <w:szCs w:val="24"/>
        </w:rPr>
        <w:t>党的十八大以来，在习近平生态文明思想指引下，在新时代党的治藏方略引领下，昌都市深入践行“绿水青山就是金山银山、冰天雪地也是金山银山”理念，以林长制为抓手，持续加大草原生态保护修复力度，通过实施退牧还草、退化</w:t>
      </w:r>
      <w:r>
        <w:rPr>
          <w:rFonts w:hint="eastAsia" w:ascii="宋体" w:hAnsi="宋体" w:eastAsia="宋体" w:cs="宋体"/>
          <w:sz w:val="24"/>
          <w:szCs w:val="24"/>
        </w:rPr>
        <w:t>草原</w:t>
      </w:r>
      <w:r>
        <w:rPr>
          <w:rFonts w:ascii="宋体" w:hAnsi="宋体" w:eastAsia="宋体" w:cs="宋体"/>
          <w:sz w:val="24"/>
          <w:szCs w:val="24"/>
        </w:rPr>
        <w:t>治理、人工种草等一系列工程，草原生态状况得到初步改善，群众通过</w:t>
      </w:r>
      <w:r>
        <w:rPr>
          <w:rFonts w:hint="eastAsia" w:ascii="宋体" w:hAnsi="宋体" w:eastAsia="宋体" w:cs="宋体"/>
          <w:sz w:val="24"/>
          <w:szCs w:val="24"/>
        </w:rPr>
        <w:t>草原项目</w:t>
      </w:r>
      <w:r>
        <w:rPr>
          <w:rFonts w:ascii="宋体" w:hAnsi="宋体" w:eastAsia="宋体" w:cs="宋体"/>
          <w:sz w:val="24"/>
          <w:szCs w:val="24"/>
        </w:rPr>
        <w:t>生态岗位、虫草采集等途径实现生态增收成效显著。然而，受高寒缺氧、气候恶劣等自然条件制约，叠加传统生产方式影响，昌都市草原生态系统依然脆弱，部分区域存在不同程度退化，草畜矛盾尚未根本缓解，草种供给不足、科技支撑薄弱等问题仍较为突出，与国家“到2035年草原生态功能和生产功能显著提升”的总体目标</w:t>
      </w:r>
      <w:r>
        <w:rPr>
          <w:rFonts w:hint="eastAsia" w:ascii="宋体" w:hAnsi="宋体" w:eastAsia="宋体" w:cs="宋体"/>
          <w:sz w:val="24"/>
          <w:szCs w:val="24"/>
        </w:rPr>
        <w:t>、</w:t>
      </w:r>
      <w:r>
        <w:rPr>
          <w:rFonts w:ascii="宋体" w:hAnsi="宋体" w:eastAsia="宋体" w:cs="宋体"/>
          <w:sz w:val="24"/>
          <w:szCs w:val="24"/>
        </w:rPr>
        <w:t>建设国家生态文明高地的要求相比，仍有较大差距。</w:t>
      </w:r>
    </w:p>
    <w:p w14:paraId="1E787144">
      <w:pPr>
        <w:spacing w:line="360" w:lineRule="auto"/>
        <w:ind w:left="28" w:right="25"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当前，正值“十四五”规划收官与“十五五”规划谋划的关键节点，也是昌都解放75周年、推进长治久安和高质量发展引领示范市建设的重要时期。为全面贯彻落实国务院《关于加强草原保护修复的若干意见》、《西藏自治区草原生态保护修复和草业发展规划（2021-2035年）》，统筹山水林田湖草沙一体化保护和系统治理，破解草原生态保护与草业发展瓶颈，推动草原高水平保护与草业高质量发展深度融合，昌都市林业和草原局提出了编制今后10年草原生态保护修复和草业发展规划的工作任务。云南今禹生态工程咨询有限公司在接受昌都市林业和草原局委托后，抽调专业力量组成项目组，于二〇二五年十一月，赴昌都市开展了实地调研工作，对全市草原资源自然禀赋、产业发展现状、相关管理和制度等情况进行认真了解调研，从草原保护、草原修复和草业发展等方面对昌都市现阶段工作进行了全面的梳理和分析，对下一步草原事业发展的适宜性和可行性进行研究分析，经过项目组成员集体讨论和分析，反复修改和论证，最终形成《昌都市草原生态保护修复和草业发展规划（</w:t>
      </w:r>
      <w:r>
        <w:rPr>
          <w:rFonts w:ascii="Times New Roman" w:hAnsi="Times New Roman" w:eastAsia="Times New Roman" w:cs="Times New Roman"/>
          <w:sz w:val="24"/>
          <w:szCs w:val="24"/>
        </w:rPr>
        <w:t>2026-2035年</w:t>
      </w:r>
      <w:r>
        <w:rPr>
          <w:rFonts w:ascii="Times New Roman" w:hAnsi="Times New Roman" w:eastAsia="宋体" w:cs="Times New Roman"/>
          <w:sz w:val="24"/>
          <w:szCs w:val="24"/>
        </w:rPr>
        <w:t>）》（简称《规划》）。《规划》以习近平生态文明思想为指导，认真贯彻落实中央领导人对青藏高原、西藏自治区的重要讲话和重要指示批示精神，积极践行“绿水青山就是金山银山”、</w:t>
      </w:r>
      <w:r>
        <w:rPr>
          <w:rFonts w:ascii="Times New Roman" w:hAnsi="Times New Roman" w:eastAsia="宋体" w:cs="Times New Roman"/>
          <w:color w:val="1901FB"/>
          <w:sz w:val="24"/>
          <w:szCs w:val="24"/>
        </w:rPr>
        <w:t>“山水林田湖草沙一体化保护和系统治理”</w:t>
      </w:r>
      <w:r>
        <w:rPr>
          <w:rFonts w:ascii="Times New Roman" w:hAnsi="Times New Roman" w:eastAsia="宋体" w:cs="Times New Roman"/>
          <w:sz w:val="24"/>
          <w:szCs w:val="24"/>
        </w:rPr>
        <w:t>等新发展理念，以“生态优先、分区施策、分类管控、科技赋能、民生为本”为原则，构建“生态安全有保障、草业发展有活力、农牧民增收有渠道”的良性发展格局，为昌都市创建国家生态文明高地，增加当地牧民的收入，实现高原绿色低碳发展、人与自然和谐共生的现代化提供坚实支撑。</w:t>
      </w:r>
    </w:p>
    <w:p w14:paraId="55BA129C">
      <w:pPr>
        <w:spacing w:line="360" w:lineRule="auto"/>
        <w:ind w:right="25"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在规划开展过程中，昌都市人民政府、发展和改革委员会、林业和草原局、农业农村局、自然资源局、水利局、生态环境局、文化旅游局、交通运输局、统计局等单位都给予了极大的支持，为项目组提供了宝贵的资讯和建议，在此表示衷心感谢！</w:t>
      </w:r>
    </w:p>
    <w:p w14:paraId="53ADCFD7">
      <w:pPr>
        <w:spacing w:line="360" w:lineRule="auto"/>
        <w:rPr>
          <w:rFonts w:ascii="Arial"/>
          <w:sz w:val="24"/>
          <w:szCs w:val="24"/>
        </w:rPr>
      </w:pPr>
    </w:p>
    <w:p w14:paraId="56F50109">
      <w:pPr>
        <w:spacing w:line="360" w:lineRule="auto"/>
        <w:rPr>
          <w:rFonts w:ascii="Arial"/>
          <w:sz w:val="24"/>
          <w:szCs w:val="24"/>
        </w:rPr>
      </w:pPr>
    </w:p>
    <w:p w14:paraId="3AA86B51">
      <w:pPr>
        <w:spacing w:line="360" w:lineRule="auto"/>
        <w:ind w:left="7493"/>
        <w:rPr>
          <w:rFonts w:ascii="宋体" w:hAnsi="宋体" w:eastAsia="宋体" w:cs="宋体"/>
          <w:sz w:val="24"/>
          <w:szCs w:val="24"/>
        </w:rPr>
      </w:pPr>
      <w:r>
        <w:rPr>
          <w:rFonts w:ascii="宋体" w:hAnsi="宋体" w:eastAsia="宋体" w:cs="宋体"/>
          <w:sz w:val="24"/>
          <w:szCs w:val="24"/>
        </w:rPr>
        <w:t>项目组</w:t>
      </w:r>
    </w:p>
    <w:p w14:paraId="59C6DF23">
      <w:pPr>
        <w:jc w:val="center"/>
        <w:rPr>
          <w:b/>
          <w:bCs/>
          <w:sz w:val="24"/>
          <w:szCs w:val="24"/>
        </w:rPr>
        <w:sectPr>
          <w:footerReference r:id="rId5" w:type="default"/>
          <w:pgSz w:w="11906" w:h="16838"/>
          <w:pgMar w:top="1459" w:right="1268" w:bottom="1222" w:left="1687" w:header="1092" w:footer="1059" w:gutter="0"/>
          <w:pgNumType w:fmt="numberInDash" w:start="1"/>
          <w:cols w:space="720" w:num="1"/>
        </w:sectPr>
      </w:pPr>
      <w:r>
        <w:rPr>
          <w:b/>
          <w:bCs/>
          <w:sz w:val="24"/>
          <w:szCs w:val="24"/>
        </w:rPr>
        <w:br w:type="page"/>
      </w:r>
    </w:p>
    <w:p w14:paraId="3F5A0B24">
      <w:pPr>
        <w:jc w:val="center"/>
        <w:rPr>
          <w:sz w:val="32"/>
          <w:szCs w:val="32"/>
        </w:rPr>
      </w:pPr>
      <w:r>
        <w:rPr>
          <w:rFonts w:hint="eastAsia"/>
          <w:sz w:val="32"/>
          <w:szCs w:val="32"/>
        </w:rPr>
        <w:t>目录</w:t>
      </w:r>
    </w:p>
    <w:p w14:paraId="4C859427">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 w:val="32"/>
          <w:szCs w:val="32"/>
        </w:rPr>
        <w:fldChar w:fldCharType="begin"/>
      </w:r>
      <w:r>
        <w:rPr>
          <w:sz w:val="32"/>
          <w:szCs w:val="32"/>
        </w:rPr>
        <w:instrText xml:space="preserve">TOC \o "1-3" \h \u </w:instrText>
      </w:r>
      <w:r>
        <w:rPr>
          <w:sz w:val="32"/>
          <w:szCs w:val="32"/>
        </w:rPr>
        <w:fldChar w:fldCharType="separate"/>
      </w:r>
      <w:r>
        <w:rPr>
          <w:szCs w:val="32"/>
        </w:rPr>
        <w:fldChar w:fldCharType="begin"/>
      </w:r>
      <w:r>
        <w:rPr>
          <w:szCs w:val="32"/>
        </w:rPr>
        <w:instrText xml:space="preserve"> HYPERLINK \l _Toc15771 </w:instrText>
      </w:r>
      <w:r>
        <w:rPr>
          <w:szCs w:val="32"/>
        </w:rPr>
        <w:fldChar w:fldCharType="separate"/>
      </w:r>
      <w:r>
        <w:rPr>
          <w:rFonts w:eastAsia="宋体"/>
          <w:bCs/>
          <w:snapToGrid/>
          <w:kern w:val="44"/>
          <w:szCs w:val="44"/>
        </w:rPr>
        <w:t xml:space="preserve">1 </w:t>
      </w:r>
      <w:r>
        <w:rPr>
          <w:rFonts w:hint="eastAsia" w:eastAsia="宋体"/>
          <w:bCs/>
          <w:snapToGrid/>
          <w:kern w:val="44"/>
          <w:szCs w:val="44"/>
        </w:rPr>
        <w:t>规划背景及必要性</w:t>
      </w:r>
      <w:r>
        <w:tab/>
      </w:r>
      <w:r>
        <w:fldChar w:fldCharType="begin"/>
      </w:r>
      <w:r>
        <w:instrText xml:space="preserve"> PAGEREF _Toc15771 </w:instrText>
      </w:r>
      <w:r>
        <w:fldChar w:fldCharType="separate"/>
      </w:r>
      <w:r>
        <w:t>1</w:t>
      </w:r>
      <w:r>
        <w:fldChar w:fldCharType="end"/>
      </w:r>
      <w:r>
        <w:rPr>
          <w:szCs w:val="32"/>
        </w:rPr>
        <w:fldChar w:fldCharType="end"/>
      </w:r>
    </w:p>
    <w:p w14:paraId="5A0EBDD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_Toc18637 </w:instrText>
      </w:r>
      <w:r>
        <w:rPr>
          <w:szCs w:val="32"/>
        </w:rPr>
        <w:fldChar w:fldCharType="separate"/>
      </w:r>
      <w:r>
        <w:rPr>
          <w:rFonts w:hint="default" w:ascii="Times New Roman" w:hAnsi="Times New Roman"/>
          <w:bCs/>
          <w:kern w:val="2"/>
          <w:szCs w:val="32"/>
        </w:rPr>
        <w:t xml:space="preserve">1.1 </w:t>
      </w:r>
      <w:r>
        <w:rPr>
          <w:rFonts w:ascii="Times New Roman" w:hAnsi="Times New Roman"/>
          <w:bCs/>
          <w:kern w:val="2"/>
          <w:szCs w:val="32"/>
        </w:rPr>
        <w:t>规划背景</w:t>
      </w:r>
      <w:r>
        <w:tab/>
      </w:r>
      <w:r>
        <w:fldChar w:fldCharType="begin"/>
      </w:r>
      <w:r>
        <w:instrText xml:space="preserve"> PAGEREF _Toc18637 </w:instrText>
      </w:r>
      <w:r>
        <w:fldChar w:fldCharType="separate"/>
      </w:r>
      <w:r>
        <w:t>1</w:t>
      </w:r>
      <w:r>
        <w:fldChar w:fldCharType="end"/>
      </w:r>
      <w:r>
        <w:rPr>
          <w:szCs w:val="32"/>
        </w:rPr>
        <w:fldChar w:fldCharType="end"/>
      </w:r>
    </w:p>
    <w:p w14:paraId="65210C3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_Toc12866 </w:instrText>
      </w:r>
      <w:r>
        <w:rPr>
          <w:szCs w:val="32"/>
        </w:rPr>
        <w:fldChar w:fldCharType="separate"/>
      </w:r>
      <w:r>
        <w:rPr>
          <w:szCs w:val="28"/>
        </w:rPr>
        <w:t xml:space="preserve">1.1.1 </w:t>
      </w:r>
      <w:r>
        <w:rPr>
          <w:rFonts w:hint="eastAsia"/>
          <w:szCs w:val="28"/>
        </w:rPr>
        <w:t>国家层面</w:t>
      </w:r>
      <w:r>
        <w:tab/>
      </w:r>
      <w:r>
        <w:fldChar w:fldCharType="begin"/>
      </w:r>
      <w:r>
        <w:instrText xml:space="preserve"> PAGEREF _Toc12866 </w:instrText>
      </w:r>
      <w:r>
        <w:fldChar w:fldCharType="separate"/>
      </w:r>
      <w:r>
        <w:t>1</w:t>
      </w:r>
      <w:r>
        <w:fldChar w:fldCharType="end"/>
      </w:r>
      <w:r>
        <w:rPr>
          <w:szCs w:val="32"/>
        </w:rPr>
        <w:fldChar w:fldCharType="end"/>
      </w:r>
    </w:p>
    <w:p w14:paraId="255A4B9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_Toc29940 </w:instrText>
      </w:r>
      <w:r>
        <w:rPr>
          <w:szCs w:val="32"/>
        </w:rPr>
        <w:fldChar w:fldCharType="separate"/>
      </w:r>
      <w:r>
        <w:rPr>
          <w:szCs w:val="28"/>
        </w:rPr>
        <w:t xml:space="preserve">1.1.2 </w:t>
      </w:r>
      <w:r>
        <w:rPr>
          <w:rFonts w:hint="eastAsia"/>
          <w:szCs w:val="28"/>
        </w:rPr>
        <w:t>自治区层面</w:t>
      </w:r>
      <w:r>
        <w:tab/>
      </w:r>
      <w:r>
        <w:fldChar w:fldCharType="begin"/>
      </w:r>
      <w:r>
        <w:instrText xml:space="preserve"> PAGEREF _Toc29940 </w:instrText>
      </w:r>
      <w:r>
        <w:fldChar w:fldCharType="separate"/>
      </w:r>
      <w:r>
        <w:t>4</w:t>
      </w:r>
      <w:r>
        <w:fldChar w:fldCharType="end"/>
      </w:r>
      <w:r>
        <w:rPr>
          <w:szCs w:val="32"/>
        </w:rPr>
        <w:fldChar w:fldCharType="end"/>
      </w:r>
    </w:p>
    <w:p w14:paraId="2A55C34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_Toc3866 </w:instrText>
      </w:r>
      <w:r>
        <w:rPr>
          <w:szCs w:val="32"/>
        </w:rPr>
        <w:fldChar w:fldCharType="separate"/>
      </w:r>
      <w:r>
        <w:rPr>
          <w:szCs w:val="28"/>
        </w:rPr>
        <w:t xml:space="preserve">1.1.3 </w:t>
      </w:r>
      <w:r>
        <w:rPr>
          <w:rFonts w:hint="eastAsia"/>
          <w:szCs w:val="28"/>
        </w:rPr>
        <w:t>市级层面</w:t>
      </w:r>
      <w:r>
        <w:tab/>
      </w:r>
      <w:r>
        <w:fldChar w:fldCharType="begin"/>
      </w:r>
      <w:r>
        <w:instrText xml:space="preserve"> PAGEREF _Toc3866 </w:instrText>
      </w:r>
      <w:r>
        <w:fldChar w:fldCharType="separate"/>
      </w:r>
      <w:r>
        <w:t>5</w:t>
      </w:r>
      <w:r>
        <w:fldChar w:fldCharType="end"/>
      </w:r>
      <w:r>
        <w:rPr>
          <w:szCs w:val="32"/>
        </w:rPr>
        <w:fldChar w:fldCharType="end"/>
      </w:r>
    </w:p>
    <w:p w14:paraId="03D2C82F">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_Toc15266 </w:instrText>
      </w:r>
      <w:r>
        <w:rPr>
          <w:szCs w:val="32"/>
        </w:rPr>
        <w:fldChar w:fldCharType="separate"/>
      </w:r>
      <w:r>
        <w:rPr>
          <w:rFonts w:hint="default" w:ascii="Times New Roman" w:hAnsi="Times New Roman"/>
          <w:bCs/>
          <w:kern w:val="2"/>
          <w:szCs w:val="32"/>
        </w:rPr>
        <w:t xml:space="preserve">1.2 </w:t>
      </w:r>
      <w:r>
        <w:rPr>
          <w:rFonts w:ascii="Times New Roman" w:hAnsi="Times New Roman"/>
          <w:bCs/>
          <w:kern w:val="2"/>
          <w:szCs w:val="32"/>
        </w:rPr>
        <w:t>规划的必要性</w:t>
      </w:r>
      <w:r>
        <w:tab/>
      </w:r>
      <w:r>
        <w:fldChar w:fldCharType="begin"/>
      </w:r>
      <w:r>
        <w:instrText xml:space="preserve"> PAGEREF _Toc15266 </w:instrText>
      </w:r>
      <w:r>
        <w:fldChar w:fldCharType="separate"/>
      </w:r>
      <w:r>
        <w:t>6</w:t>
      </w:r>
      <w:r>
        <w:fldChar w:fldCharType="end"/>
      </w:r>
      <w:r>
        <w:rPr>
          <w:szCs w:val="32"/>
        </w:rPr>
        <w:fldChar w:fldCharType="end"/>
      </w:r>
    </w:p>
    <w:p w14:paraId="76EF8143">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_Toc8205 </w:instrText>
      </w:r>
      <w:r>
        <w:rPr>
          <w:szCs w:val="32"/>
        </w:rPr>
        <w:fldChar w:fldCharType="separate"/>
      </w:r>
      <w:r>
        <w:rPr>
          <w:rFonts w:eastAsia="宋体"/>
          <w:bCs/>
          <w:snapToGrid/>
          <w:kern w:val="44"/>
          <w:szCs w:val="44"/>
        </w:rPr>
        <w:t xml:space="preserve">2 </w:t>
      </w:r>
      <w:r>
        <w:rPr>
          <w:rFonts w:hint="eastAsia" w:eastAsia="宋体"/>
          <w:bCs/>
          <w:snapToGrid/>
          <w:kern w:val="44"/>
          <w:szCs w:val="44"/>
        </w:rPr>
        <w:t>规划区概况</w:t>
      </w:r>
      <w:r>
        <w:tab/>
      </w:r>
      <w:r>
        <w:fldChar w:fldCharType="begin"/>
      </w:r>
      <w:r>
        <w:instrText xml:space="preserve"> PAGEREF _Toc8205 </w:instrText>
      </w:r>
      <w:r>
        <w:fldChar w:fldCharType="separate"/>
      </w:r>
      <w:r>
        <w:t>8</w:t>
      </w:r>
      <w:r>
        <w:fldChar w:fldCharType="end"/>
      </w:r>
      <w:r>
        <w:rPr>
          <w:szCs w:val="32"/>
        </w:rPr>
        <w:fldChar w:fldCharType="end"/>
      </w:r>
    </w:p>
    <w:p w14:paraId="1805F79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_Toc25590 </w:instrText>
      </w:r>
      <w:r>
        <w:rPr>
          <w:szCs w:val="32"/>
        </w:rPr>
        <w:fldChar w:fldCharType="separate"/>
      </w:r>
      <w:r>
        <w:rPr>
          <w:rFonts w:hint="default" w:ascii="Times New Roman" w:hAnsi="Times New Roman"/>
          <w:bCs/>
          <w:kern w:val="2"/>
          <w:szCs w:val="32"/>
        </w:rPr>
        <w:t xml:space="preserve">2.1 </w:t>
      </w:r>
      <w:r>
        <w:rPr>
          <w:rFonts w:ascii="Times New Roman" w:hAnsi="Times New Roman"/>
          <w:bCs/>
          <w:kern w:val="2"/>
          <w:szCs w:val="32"/>
        </w:rPr>
        <w:t>自然环境概况</w:t>
      </w:r>
      <w:r>
        <w:tab/>
      </w:r>
      <w:r>
        <w:fldChar w:fldCharType="begin"/>
      </w:r>
      <w:r>
        <w:instrText xml:space="preserve"> PAGEREF _Toc25590 </w:instrText>
      </w:r>
      <w:r>
        <w:fldChar w:fldCharType="separate"/>
      </w:r>
      <w:r>
        <w:t>8</w:t>
      </w:r>
      <w:r>
        <w:fldChar w:fldCharType="end"/>
      </w:r>
      <w:r>
        <w:rPr>
          <w:szCs w:val="32"/>
        </w:rPr>
        <w:fldChar w:fldCharType="end"/>
      </w:r>
    </w:p>
    <w:p w14:paraId="0EE7608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_Toc30511 </w:instrText>
      </w:r>
      <w:r>
        <w:rPr>
          <w:szCs w:val="32"/>
        </w:rPr>
        <w:fldChar w:fldCharType="separate"/>
      </w:r>
      <w:r>
        <w:rPr>
          <w:szCs w:val="28"/>
        </w:rPr>
        <w:t xml:space="preserve">2.1.1 </w:t>
      </w:r>
      <w:r>
        <w:rPr>
          <w:rFonts w:hint="eastAsia"/>
          <w:szCs w:val="28"/>
        </w:rPr>
        <w:t>地理位置</w:t>
      </w:r>
      <w:r>
        <w:tab/>
      </w:r>
      <w:r>
        <w:fldChar w:fldCharType="begin"/>
      </w:r>
      <w:r>
        <w:instrText xml:space="preserve"> PAGEREF _Toc30511 </w:instrText>
      </w:r>
      <w:r>
        <w:fldChar w:fldCharType="separate"/>
      </w:r>
      <w:r>
        <w:t>8</w:t>
      </w:r>
      <w:r>
        <w:fldChar w:fldCharType="end"/>
      </w:r>
      <w:r>
        <w:rPr>
          <w:szCs w:val="32"/>
        </w:rPr>
        <w:fldChar w:fldCharType="end"/>
      </w:r>
    </w:p>
    <w:p w14:paraId="5790E8A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_Toc18780 </w:instrText>
      </w:r>
      <w:r>
        <w:rPr>
          <w:szCs w:val="32"/>
        </w:rPr>
        <w:fldChar w:fldCharType="separate"/>
      </w:r>
      <w:r>
        <w:rPr>
          <w:szCs w:val="28"/>
        </w:rPr>
        <w:t xml:space="preserve">2.1.2 </w:t>
      </w:r>
      <w:r>
        <w:rPr>
          <w:rFonts w:hint="eastAsia"/>
          <w:szCs w:val="28"/>
        </w:rPr>
        <w:t>生态区位</w:t>
      </w:r>
      <w:r>
        <w:tab/>
      </w:r>
      <w:r>
        <w:fldChar w:fldCharType="begin"/>
      </w:r>
      <w:r>
        <w:instrText xml:space="preserve"> PAGEREF _Toc18780 </w:instrText>
      </w:r>
      <w:r>
        <w:fldChar w:fldCharType="separate"/>
      </w:r>
      <w:r>
        <w:t>8</w:t>
      </w:r>
      <w:r>
        <w:fldChar w:fldCharType="end"/>
      </w:r>
      <w:r>
        <w:rPr>
          <w:szCs w:val="32"/>
        </w:rPr>
        <w:fldChar w:fldCharType="end"/>
      </w:r>
    </w:p>
    <w:p w14:paraId="777270E5">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_Toc30011 </w:instrText>
      </w:r>
      <w:r>
        <w:rPr>
          <w:szCs w:val="32"/>
        </w:rPr>
        <w:fldChar w:fldCharType="separate"/>
      </w:r>
      <w:r>
        <w:rPr>
          <w:rFonts w:hint="eastAsia"/>
          <w:szCs w:val="28"/>
        </w:rPr>
        <w:t>2.1.3 地形地貌</w:t>
      </w:r>
      <w:r>
        <w:tab/>
      </w:r>
      <w:r>
        <w:fldChar w:fldCharType="begin"/>
      </w:r>
      <w:r>
        <w:instrText xml:space="preserve"> PAGEREF _Toc30011 </w:instrText>
      </w:r>
      <w:r>
        <w:fldChar w:fldCharType="separate"/>
      </w:r>
      <w:r>
        <w:t>9</w:t>
      </w:r>
      <w:r>
        <w:fldChar w:fldCharType="end"/>
      </w:r>
      <w:r>
        <w:rPr>
          <w:szCs w:val="32"/>
        </w:rPr>
        <w:fldChar w:fldCharType="end"/>
      </w:r>
    </w:p>
    <w:p w14:paraId="01BF697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_Toc30876 </w:instrText>
      </w:r>
      <w:r>
        <w:rPr>
          <w:szCs w:val="32"/>
        </w:rPr>
        <w:fldChar w:fldCharType="separate"/>
      </w:r>
      <w:r>
        <w:rPr>
          <w:szCs w:val="28"/>
        </w:rPr>
        <w:t xml:space="preserve">2.1.4 </w:t>
      </w:r>
      <w:r>
        <w:rPr>
          <w:rFonts w:hint="eastAsia"/>
          <w:szCs w:val="28"/>
        </w:rPr>
        <w:t>气候条件</w:t>
      </w:r>
      <w:r>
        <w:tab/>
      </w:r>
      <w:r>
        <w:fldChar w:fldCharType="begin"/>
      </w:r>
      <w:r>
        <w:instrText xml:space="preserve"> PAGEREF _Toc30876 </w:instrText>
      </w:r>
      <w:r>
        <w:fldChar w:fldCharType="separate"/>
      </w:r>
      <w:r>
        <w:t>9</w:t>
      </w:r>
      <w:r>
        <w:fldChar w:fldCharType="end"/>
      </w:r>
      <w:r>
        <w:rPr>
          <w:szCs w:val="32"/>
        </w:rPr>
        <w:fldChar w:fldCharType="end"/>
      </w:r>
    </w:p>
    <w:p w14:paraId="7D84B3F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_Toc20204 </w:instrText>
      </w:r>
      <w:r>
        <w:rPr>
          <w:szCs w:val="32"/>
        </w:rPr>
        <w:fldChar w:fldCharType="separate"/>
      </w:r>
      <w:r>
        <w:rPr>
          <w:szCs w:val="28"/>
        </w:rPr>
        <w:t xml:space="preserve">2.1.5 </w:t>
      </w:r>
      <w:r>
        <w:rPr>
          <w:rFonts w:hint="eastAsia"/>
          <w:szCs w:val="28"/>
        </w:rPr>
        <w:t>水文条件</w:t>
      </w:r>
      <w:r>
        <w:tab/>
      </w:r>
      <w:r>
        <w:fldChar w:fldCharType="begin"/>
      </w:r>
      <w:r>
        <w:instrText xml:space="preserve"> PAGEREF _Toc20204 </w:instrText>
      </w:r>
      <w:r>
        <w:fldChar w:fldCharType="separate"/>
      </w:r>
      <w:r>
        <w:t>10</w:t>
      </w:r>
      <w:r>
        <w:fldChar w:fldCharType="end"/>
      </w:r>
      <w:r>
        <w:rPr>
          <w:szCs w:val="32"/>
        </w:rPr>
        <w:fldChar w:fldCharType="end"/>
      </w:r>
    </w:p>
    <w:p w14:paraId="331DF81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_Toc2639 </w:instrText>
      </w:r>
      <w:r>
        <w:rPr>
          <w:szCs w:val="32"/>
        </w:rPr>
        <w:fldChar w:fldCharType="separate"/>
      </w:r>
      <w:r>
        <w:rPr>
          <w:szCs w:val="28"/>
        </w:rPr>
        <w:t xml:space="preserve">2.1.6 </w:t>
      </w:r>
      <w:r>
        <w:rPr>
          <w:rFonts w:hint="eastAsia"/>
          <w:szCs w:val="28"/>
        </w:rPr>
        <w:t>土壤条件</w:t>
      </w:r>
      <w:r>
        <w:tab/>
      </w:r>
      <w:r>
        <w:fldChar w:fldCharType="begin"/>
      </w:r>
      <w:r>
        <w:instrText xml:space="preserve"> PAGEREF _Toc2639 </w:instrText>
      </w:r>
      <w:r>
        <w:fldChar w:fldCharType="separate"/>
      </w:r>
      <w:r>
        <w:t>12</w:t>
      </w:r>
      <w:r>
        <w:fldChar w:fldCharType="end"/>
      </w:r>
      <w:r>
        <w:rPr>
          <w:szCs w:val="32"/>
        </w:rPr>
        <w:fldChar w:fldCharType="end"/>
      </w:r>
    </w:p>
    <w:p w14:paraId="0E9C4E1A">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_Toc15900 </w:instrText>
      </w:r>
      <w:r>
        <w:rPr>
          <w:szCs w:val="32"/>
        </w:rPr>
        <w:fldChar w:fldCharType="separate"/>
      </w:r>
      <w:r>
        <w:rPr>
          <w:szCs w:val="28"/>
        </w:rPr>
        <w:t xml:space="preserve">2.1.7 </w:t>
      </w:r>
      <w:r>
        <w:rPr>
          <w:rFonts w:hint="eastAsia"/>
          <w:szCs w:val="28"/>
        </w:rPr>
        <w:t>植被类型及分布特征</w:t>
      </w:r>
      <w:r>
        <w:tab/>
      </w:r>
      <w:r>
        <w:fldChar w:fldCharType="begin"/>
      </w:r>
      <w:r>
        <w:instrText xml:space="preserve"> PAGEREF _Toc15900 </w:instrText>
      </w:r>
      <w:r>
        <w:fldChar w:fldCharType="separate"/>
      </w:r>
      <w:r>
        <w:t>12</w:t>
      </w:r>
      <w:r>
        <w:fldChar w:fldCharType="end"/>
      </w:r>
      <w:r>
        <w:rPr>
          <w:szCs w:val="32"/>
        </w:rPr>
        <w:fldChar w:fldCharType="end"/>
      </w:r>
    </w:p>
    <w:p w14:paraId="723BC6F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_Toc19974 </w:instrText>
      </w:r>
      <w:r>
        <w:rPr>
          <w:szCs w:val="32"/>
        </w:rPr>
        <w:fldChar w:fldCharType="separate"/>
      </w:r>
      <w:r>
        <w:rPr>
          <w:szCs w:val="28"/>
        </w:rPr>
        <w:t xml:space="preserve">2.1.8 </w:t>
      </w:r>
      <w:r>
        <w:rPr>
          <w:rFonts w:hint="eastAsia"/>
          <w:szCs w:val="28"/>
        </w:rPr>
        <w:t>动植物资源</w:t>
      </w:r>
      <w:r>
        <w:tab/>
      </w:r>
      <w:r>
        <w:fldChar w:fldCharType="begin"/>
      </w:r>
      <w:r>
        <w:instrText xml:space="preserve"> PAGEREF _Toc19974 </w:instrText>
      </w:r>
      <w:r>
        <w:fldChar w:fldCharType="separate"/>
      </w:r>
      <w:r>
        <w:t>13</w:t>
      </w:r>
      <w:r>
        <w:fldChar w:fldCharType="end"/>
      </w:r>
      <w:r>
        <w:rPr>
          <w:szCs w:val="32"/>
        </w:rPr>
        <w:fldChar w:fldCharType="end"/>
      </w:r>
    </w:p>
    <w:p w14:paraId="09AA22C6">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_Toc17610 </w:instrText>
      </w:r>
      <w:r>
        <w:rPr>
          <w:szCs w:val="32"/>
        </w:rPr>
        <w:fldChar w:fldCharType="separate"/>
      </w:r>
      <w:r>
        <w:rPr>
          <w:rFonts w:hint="default" w:ascii="Times New Roman" w:hAnsi="Times New Roman"/>
          <w:bCs/>
          <w:kern w:val="2"/>
          <w:szCs w:val="32"/>
        </w:rPr>
        <w:t xml:space="preserve">2.2 </w:t>
      </w:r>
      <w:r>
        <w:rPr>
          <w:rFonts w:ascii="Times New Roman" w:hAnsi="Times New Roman"/>
          <w:bCs/>
          <w:kern w:val="2"/>
          <w:szCs w:val="32"/>
        </w:rPr>
        <w:t>社会经济概况</w:t>
      </w:r>
      <w:r>
        <w:tab/>
      </w:r>
      <w:r>
        <w:fldChar w:fldCharType="begin"/>
      </w:r>
      <w:r>
        <w:instrText xml:space="preserve"> PAGEREF _Toc17610 </w:instrText>
      </w:r>
      <w:r>
        <w:fldChar w:fldCharType="separate"/>
      </w:r>
      <w:r>
        <w:t>14</w:t>
      </w:r>
      <w:r>
        <w:fldChar w:fldCharType="end"/>
      </w:r>
      <w:r>
        <w:rPr>
          <w:szCs w:val="32"/>
        </w:rPr>
        <w:fldChar w:fldCharType="end"/>
      </w:r>
    </w:p>
    <w:p w14:paraId="163EC93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_Toc13224 </w:instrText>
      </w:r>
      <w:r>
        <w:rPr>
          <w:szCs w:val="32"/>
        </w:rPr>
        <w:fldChar w:fldCharType="separate"/>
      </w:r>
      <w:r>
        <w:rPr>
          <w:szCs w:val="28"/>
        </w:rPr>
        <w:t>2.2.1 行政区划</w:t>
      </w:r>
      <w:r>
        <w:tab/>
      </w:r>
      <w:r>
        <w:fldChar w:fldCharType="begin"/>
      </w:r>
      <w:r>
        <w:instrText xml:space="preserve"> PAGEREF _Toc13224 </w:instrText>
      </w:r>
      <w:r>
        <w:fldChar w:fldCharType="separate"/>
      </w:r>
      <w:r>
        <w:t>14</w:t>
      </w:r>
      <w:r>
        <w:fldChar w:fldCharType="end"/>
      </w:r>
      <w:r>
        <w:rPr>
          <w:szCs w:val="32"/>
        </w:rPr>
        <w:fldChar w:fldCharType="end"/>
      </w:r>
    </w:p>
    <w:p w14:paraId="3BE03C3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_Toc22910 </w:instrText>
      </w:r>
      <w:r>
        <w:rPr>
          <w:szCs w:val="32"/>
        </w:rPr>
        <w:fldChar w:fldCharType="separate"/>
      </w:r>
      <w:r>
        <w:rPr>
          <w:szCs w:val="28"/>
        </w:rPr>
        <w:t xml:space="preserve">2.2.2 </w:t>
      </w:r>
      <w:r>
        <w:rPr>
          <w:rFonts w:hint="eastAsia"/>
          <w:szCs w:val="28"/>
        </w:rPr>
        <w:t>人口</w:t>
      </w:r>
      <w:r>
        <w:tab/>
      </w:r>
      <w:r>
        <w:fldChar w:fldCharType="begin"/>
      </w:r>
      <w:r>
        <w:instrText xml:space="preserve"> PAGEREF _Toc22910 </w:instrText>
      </w:r>
      <w:r>
        <w:fldChar w:fldCharType="separate"/>
      </w:r>
      <w:r>
        <w:t>15</w:t>
      </w:r>
      <w:r>
        <w:fldChar w:fldCharType="end"/>
      </w:r>
      <w:r>
        <w:rPr>
          <w:szCs w:val="32"/>
        </w:rPr>
        <w:fldChar w:fldCharType="end"/>
      </w:r>
    </w:p>
    <w:p w14:paraId="79B4069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_Toc3288 </w:instrText>
      </w:r>
      <w:r>
        <w:rPr>
          <w:szCs w:val="32"/>
        </w:rPr>
        <w:fldChar w:fldCharType="separate"/>
      </w:r>
      <w:r>
        <w:rPr>
          <w:szCs w:val="28"/>
        </w:rPr>
        <w:t xml:space="preserve">2.2.3 </w:t>
      </w:r>
      <w:r>
        <w:rPr>
          <w:rFonts w:hint="eastAsia"/>
          <w:szCs w:val="28"/>
        </w:rPr>
        <w:t>交通条件</w:t>
      </w:r>
      <w:r>
        <w:tab/>
      </w:r>
      <w:r>
        <w:fldChar w:fldCharType="begin"/>
      </w:r>
      <w:r>
        <w:instrText xml:space="preserve"> PAGEREF _Toc3288 </w:instrText>
      </w:r>
      <w:r>
        <w:fldChar w:fldCharType="separate"/>
      </w:r>
      <w:r>
        <w:t>15</w:t>
      </w:r>
      <w:r>
        <w:fldChar w:fldCharType="end"/>
      </w:r>
      <w:r>
        <w:rPr>
          <w:szCs w:val="32"/>
        </w:rPr>
        <w:fldChar w:fldCharType="end"/>
      </w:r>
    </w:p>
    <w:p w14:paraId="25BE77A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_Toc20389 </w:instrText>
      </w:r>
      <w:r>
        <w:rPr>
          <w:szCs w:val="32"/>
        </w:rPr>
        <w:fldChar w:fldCharType="separate"/>
      </w:r>
      <w:r>
        <w:rPr>
          <w:szCs w:val="28"/>
        </w:rPr>
        <w:t xml:space="preserve">2.2.4 </w:t>
      </w:r>
      <w:r>
        <w:rPr>
          <w:rFonts w:hint="eastAsia"/>
          <w:szCs w:val="28"/>
        </w:rPr>
        <w:t>经济条件</w:t>
      </w:r>
      <w:r>
        <w:tab/>
      </w:r>
      <w:r>
        <w:fldChar w:fldCharType="begin"/>
      </w:r>
      <w:r>
        <w:instrText xml:space="preserve"> PAGEREF _Toc20389 </w:instrText>
      </w:r>
      <w:r>
        <w:fldChar w:fldCharType="separate"/>
      </w:r>
      <w:r>
        <w:t>16</w:t>
      </w:r>
      <w:r>
        <w:fldChar w:fldCharType="end"/>
      </w:r>
      <w:r>
        <w:rPr>
          <w:szCs w:val="32"/>
        </w:rPr>
        <w:fldChar w:fldCharType="end"/>
      </w:r>
    </w:p>
    <w:p w14:paraId="0E0A9B0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_Toc20060 </w:instrText>
      </w:r>
      <w:r>
        <w:rPr>
          <w:szCs w:val="32"/>
        </w:rPr>
        <w:fldChar w:fldCharType="separate"/>
      </w:r>
      <w:r>
        <w:rPr>
          <w:rFonts w:hint="default" w:ascii="Times New Roman" w:hAnsi="Times New Roman"/>
          <w:bCs/>
          <w:kern w:val="2"/>
          <w:szCs w:val="32"/>
        </w:rPr>
        <w:t xml:space="preserve">2.3 </w:t>
      </w:r>
      <w:r>
        <w:rPr>
          <w:rFonts w:ascii="Times New Roman" w:hAnsi="Times New Roman"/>
          <w:bCs/>
          <w:kern w:val="2"/>
          <w:szCs w:val="32"/>
        </w:rPr>
        <w:t>文化旅游概况</w:t>
      </w:r>
      <w:r>
        <w:tab/>
      </w:r>
      <w:r>
        <w:fldChar w:fldCharType="begin"/>
      </w:r>
      <w:r>
        <w:instrText xml:space="preserve"> PAGEREF _Toc20060 </w:instrText>
      </w:r>
      <w:r>
        <w:fldChar w:fldCharType="separate"/>
      </w:r>
      <w:r>
        <w:t>17</w:t>
      </w:r>
      <w:r>
        <w:fldChar w:fldCharType="end"/>
      </w:r>
      <w:r>
        <w:rPr>
          <w:szCs w:val="32"/>
        </w:rPr>
        <w:fldChar w:fldCharType="end"/>
      </w:r>
    </w:p>
    <w:p w14:paraId="0A212D0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_Toc9169 </w:instrText>
      </w:r>
      <w:r>
        <w:rPr>
          <w:szCs w:val="32"/>
        </w:rPr>
        <w:fldChar w:fldCharType="separate"/>
      </w:r>
      <w:r>
        <w:rPr>
          <w:szCs w:val="28"/>
        </w:rPr>
        <w:t>2.3.1 旅游产业</w:t>
      </w:r>
      <w:r>
        <w:tab/>
      </w:r>
      <w:r>
        <w:fldChar w:fldCharType="begin"/>
      </w:r>
      <w:r>
        <w:instrText xml:space="preserve"> PAGEREF _Toc9169 </w:instrText>
      </w:r>
      <w:r>
        <w:fldChar w:fldCharType="separate"/>
      </w:r>
      <w:r>
        <w:t>17</w:t>
      </w:r>
      <w:r>
        <w:fldChar w:fldCharType="end"/>
      </w:r>
      <w:r>
        <w:rPr>
          <w:szCs w:val="32"/>
        </w:rPr>
        <w:fldChar w:fldCharType="end"/>
      </w:r>
    </w:p>
    <w:p w14:paraId="73FBE5B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_Toc31190 </w:instrText>
      </w:r>
      <w:r>
        <w:rPr>
          <w:szCs w:val="32"/>
        </w:rPr>
        <w:fldChar w:fldCharType="separate"/>
      </w:r>
      <w:r>
        <w:rPr>
          <w:szCs w:val="28"/>
        </w:rPr>
        <w:t xml:space="preserve">2.3.2 </w:t>
      </w:r>
      <w:r>
        <w:rPr>
          <w:rFonts w:hint="eastAsia"/>
          <w:szCs w:val="28"/>
        </w:rPr>
        <w:t>文化产业</w:t>
      </w:r>
      <w:r>
        <w:tab/>
      </w:r>
      <w:r>
        <w:fldChar w:fldCharType="begin"/>
      </w:r>
      <w:r>
        <w:instrText xml:space="preserve"> PAGEREF _Toc31190 </w:instrText>
      </w:r>
      <w:r>
        <w:fldChar w:fldCharType="separate"/>
      </w:r>
      <w:r>
        <w:t>18</w:t>
      </w:r>
      <w:r>
        <w:fldChar w:fldCharType="end"/>
      </w:r>
      <w:r>
        <w:rPr>
          <w:szCs w:val="32"/>
        </w:rPr>
        <w:fldChar w:fldCharType="end"/>
      </w:r>
    </w:p>
    <w:p w14:paraId="4FA85FF5">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_Toc21256 </w:instrText>
      </w:r>
      <w:r>
        <w:rPr>
          <w:szCs w:val="32"/>
        </w:rPr>
        <w:fldChar w:fldCharType="separate"/>
      </w:r>
      <w:r>
        <w:rPr>
          <w:szCs w:val="28"/>
        </w:rPr>
        <w:t>2.3.3 旅游资源</w:t>
      </w:r>
      <w:r>
        <w:tab/>
      </w:r>
      <w:r>
        <w:fldChar w:fldCharType="begin"/>
      </w:r>
      <w:r>
        <w:instrText xml:space="preserve"> PAGEREF _Toc21256 </w:instrText>
      </w:r>
      <w:r>
        <w:fldChar w:fldCharType="separate"/>
      </w:r>
      <w:r>
        <w:t>18</w:t>
      </w:r>
      <w:r>
        <w:fldChar w:fldCharType="end"/>
      </w:r>
      <w:r>
        <w:rPr>
          <w:szCs w:val="32"/>
        </w:rPr>
        <w:fldChar w:fldCharType="end"/>
      </w:r>
    </w:p>
    <w:p w14:paraId="5AD86240">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_Toc23134 </w:instrText>
      </w:r>
      <w:r>
        <w:rPr>
          <w:szCs w:val="32"/>
        </w:rPr>
        <w:fldChar w:fldCharType="separate"/>
      </w:r>
      <w:r>
        <w:rPr>
          <w:rFonts w:hint="default" w:ascii="Times New Roman" w:hAnsi="Times New Roman"/>
          <w:bCs/>
          <w:kern w:val="2"/>
          <w:szCs w:val="32"/>
        </w:rPr>
        <w:t xml:space="preserve">2.4 </w:t>
      </w:r>
      <w:r>
        <w:rPr>
          <w:rFonts w:ascii="Times New Roman" w:hAnsi="Times New Roman"/>
          <w:bCs/>
          <w:kern w:val="2"/>
          <w:szCs w:val="32"/>
        </w:rPr>
        <w:t>土地利用现状</w:t>
      </w:r>
      <w:r>
        <w:tab/>
      </w:r>
      <w:r>
        <w:fldChar w:fldCharType="begin"/>
      </w:r>
      <w:r>
        <w:instrText xml:space="preserve"> PAGEREF _Toc23134 </w:instrText>
      </w:r>
      <w:r>
        <w:fldChar w:fldCharType="separate"/>
      </w:r>
      <w:r>
        <w:t>19</w:t>
      </w:r>
      <w:r>
        <w:fldChar w:fldCharType="end"/>
      </w:r>
      <w:r>
        <w:rPr>
          <w:szCs w:val="32"/>
        </w:rPr>
        <w:fldChar w:fldCharType="end"/>
      </w:r>
    </w:p>
    <w:p w14:paraId="5EA32E45">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_Toc23945 </w:instrText>
      </w:r>
      <w:r>
        <w:rPr>
          <w:szCs w:val="32"/>
        </w:rPr>
        <w:fldChar w:fldCharType="separate"/>
      </w:r>
      <w:r>
        <w:rPr>
          <w:rFonts w:eastAsia="宋体"/>
          <w:bCs/>
          <w:snapToGrid/>
          <w:kern w:val="44"/>
          <w:szCs w:val="44"/>
        </w:rPr>
        <w:t xml:space="preserve">3 </w:t>
      </w:r>
      <w:r>
        <w:rPr>
          <w:rFonts w:hint="eastAsia" w:eastAsia="宋体"/>
          <w:bCs/>
          <w:snapToGrid/>
          <w:kern w:val="44"/>
          <w:szCs w:val="44"/>
        </w:rPr>
        <w:t>草原保护利用现状</w:t>
      </w:r>
      <w:r>
        <w:tab/>
      </w:r>
      <w:r>
        <w:fldChar w:fldCharType="begin"/>
      </w:r>
      <w:r>
        <w:instrText xml:space="preserve"> PAGEREF _Toc23945 </w:instrText>
      </w:r>
      <w:r>
        <w:fldChar w:fldCharType="separate"/>
      </w:r>
      <w:r>
        <w:t>21</w:t>
      </w:r>
      <w:r>
        <w:fldChar w:fldCharType="end"/>
      </w:r>
      <w:r>
        <w:rPr>
          <w:szCs w:val="32"/>
        </w:rPr>
        <w:fldChar w:fldCharType="end"/>
      </w:r>
    </w:p>
    <w:p w14:paraId="5547FE6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_Toc21170 </w:instrText>
      </w:r>
      <w:r>
        <w:rPr>
          <w:szCs w:val="32"/>
        </w:rPr>
        <w:fldChar w:fldCharType="separate"/>
      </w:r>
      <w:r>
        <w:rPr>
          <w:rFonts w:hint="default" w:ascii="Times New Roman"/>
          <w:kern w:val="2"/>
          <w:szCs w:val="32"/>
        </w:rPr>
        <w:t>3.1 草原资源基本情况</w:t>
      </w:r>
      <w:r>
        <w:tab/>
      </w:r>
      <w:r>
        <w:fldChar w:fldCharType="begin"/>
      </w:r>
      <w:r>
        <w:instrText xml:space="preserve"> PAGEREF _Toc21170 </w:instrText>
      </w:r>
      <w:r>
        <w:fldChar w:fldCharType="separate"/>
      </w:r>
      <w:r>
        <w:t>21</w:t>
      </w:r>
      <w:r>
        <w:fldChar w:fldCharType="end"/>
      </w:r>
      <w:r>
        <w:rPr>
          <w:szCs w:val="32"/>
        </w:rPr>
        <w:fldChar w:fldCharType="end"/>
      </w:r>
    </w:p>
    <w:p w14:paraId="2F381444">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_Toc22699 </w:instrText>
      </w:r>
      <w:r>
        <w:rPr>
          <w:szCs w:val="32"/>
        </w:rPr>
        <w:fldChar w:fldCharType="separate"/>
      </w:r>
      <w:r>
        <w:rPr>
          <w:szCs w:val="28"/>
        </w:rPr>
        <w:t xml:space="preserve">3.1.1 </w:t>
      </w:r>
      <w:r>
        <w:rPr>
          <w:rFonts w:hint="eastAsia"/>
          <w:szCs w:val="28"/>
        </w:rPr>
        <w:t>草原面积与分布</w:t>
      </w:r>
      <w:r>
        <w:tab/>
      </w:r>
      <w:r>
        <w:fldChar w:fldCharType="begin"/>
      </w:r>
      <w:r>
        <w:instrText xml:space="preserve"> PAGEREF _Toc22699 </w:instrText>
      </w:r>
      <w:r>
        <w:fldChar w:fldCharType="separate"/>
      </w:r>
      <w:r>
        <w:t>21</w:t>
      </w:r>
      <w:r>
        <w:fldChar w:fldCharType="end"/>
      </w:r>
      <w:r>
        <w:rPr>
          <w:szCs w:val="32"/>
        </w:rPr>
        <w:fldChar w:fldCharType="end"/>
      </w:r>
    </w:p>
    <w:p w14:paraId="47654755">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_Toc12821 </w:instrText>
      </w:r>
      <w:r>
        <w:rPr>
          <w:szCs w:val="32"/>
        </w:rPr>
        <w:fldChar w:fldCharType="separate"/>
      </w:r>
      <w:r>
        <w:rPr>
          <w:szCs w:val="28"/>
        </w:rPr>
        <w:t xml:space="preserve">3.1.2 </w:t>
      </w:r>
      <w:r>
        <w:rPr>
          <w:rFonts w:hint="eastAsia"/>
          <w:szCs w:val="28"/>
        </w:rPr>
        <w:t>草原类</w:t>
      </w:r>
      <w:r>
        <w:tab/>
      </w:r>
      <w:r>
        <w:fldChar w:fldCharType="begin"/>
      </w:r>
      <w:r>
        <w:instrText xml:space="preserve"> PAGEREF _Toc12821 </w:instrText>
      </w:r>
      <w:r>
        <w:fldChar w:fldCharType="separate"/>
      </w:r>
      <w:r>
        <w:t>22</w:t>
      </w:r>
      <w:r>
        <w:fldChar w:fldCharType="end"/>
      </w:r>
      <w:r>
        <w:rPr>
          <w:szCs w:val="32"/>
        </w:rPr>
        <w:fldChar w:fldCharType="end"/>
      </w:r>
    </w:p>
    <w:p w14:paraId="6BBDD8E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_Toc20676 </w:instrText>
      </w:r>
      <w:r>
        <w:rPr>
          <w:szCs w:val="32"/>
        </w:rPr>
        <w:fldChar w:fldCharType="separate"/>
      </w:r>
      <w:r>
        <w:rPr>
          <w:szCs w:val="28"/>
        </w:rPr>
        <w:t xml:space="preserve">3.1.3 </w:t>
      </w:r>
      <w:r>
        <w:rPr>
          <w:rFonts w:hint="eastAsia"/>
          <w:szCs w:val="28"/>
        </w:rPr>
        <w:t>草原型</w:t>
      </w:r>
      <w:r>
        <w:tab/>
      </w:r>
      <w:r>
        <w:fldChar w:fldCharType="begin"/>
      </w:r>
      <w:r>
        <w:instrText xml:space="preserve"> PAGEREF _Toc20676 </w:instrText>
      </w:r>
      <w:r>
        <w:fldChar w:fldCharType="separate"/>
      </w:r>
      <w:r>
        <w:t>23</w:t>
      </w:r>
      <w:r>
        <w:fldChar w:fldCharType="end"/>
      </w:r>
      <w:r>
        <w:rPr>
          <w:szCs w:val="32"/>
        </w:rPr>
        <w:fldChar w:fldCharType="end"/>
      </w:r>
    </w:p>
    <w:p w14:paraId="27BB488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_Toc27937 </w:instrText>
      </w:r>
      <w:r>
        <w:rPr>
          <w:szCs w:val="32"/>
        </w:rPr>
        <w:fldChar w:fldCharType="separate"/>
      </w:r>
      <w:r>
        <w:rPr>
          <w:szCs w:val="28"/>
        </w:rPr>
        <w:t xml:space="preserve">3.1.4 </w:t>
      </w:r>
      <w:r>
        <w:rPr>
          <w:rFonts w:hint="eastAsia"/>
          <w:szCs w:val="28"/>
        </w:rPr>
        <w:t>草地权属</w:t>
      </w:r>
      <w:r>
        <w:tab/>
      </w:r>
      <w:r>
        <w:fldChar w:fldCharType="begin"/>
      </w:r>
      <w:r>
        <w:instrText xml:space="preserve"> PAGEREF _Toc27937 </w:instrText>
      </w:r>
      <w:r>
        <w:fldChar w:fldCharType="separate"/>
      </w:r>
      <w:r>
        <w:t>27</w:t>
      </w:r>
      <w:r>
        <w:fldChar w:fldCharType="end"/>
      </w:r>
      <w:r>
        <w:rPr>
          <w:szCs w:val="32"/>
        </w:rPr>
        <w:fldChar w:fldCharType="end"/>
      </w:r>
    </w:p>
    <w:p w14:paraId="5BCFBB2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_Toc826 </w:instrText>
      </w:r>
      <w:r>
        <w:rPr>
          <w:szCs w:val="32"/>
        </w:rPr>
        <w:fldChar w:fldCharType="separate"/>
      </w:r>
      <w:r>
        <w:rPr>
          <w:szCs w:val="28"/>
        </w:rPr>
        <w:t xml:space="preserve">3.1.5 </w:t>
      </w:r>
      <w:r>
        <w:rPr>
          <w:rFonts w:hint="eastAsia"/>
          <w:szCs w:val="28"/>
        </w:rPr>
        <w:t>生态功能定位</w:t>
      </w:r>
      <w:r>
        <w:tab/>
      </w:r>
      <w:r>
        <w:fldChar w:fldCharType="begin"/>
      </w:r>
      <w:r>
        <w:instrText xml:space="preserve"> PAGEREF _Toc826 </w:instrText>
      </w:r>
      <w:r>
        <w:fldChar w:fldCharType="separate"/>
      </w:r>
      <w:r>
        <w:t>28</w:t>
      </w:r>
      <w:r>
        <w:fldChar w:fldCharType="end"/>
      </w:r>
      <w:r>
        <w:rPr>
          <w:szCs w:val="32"/>
        </w:rPr>
        <w:fldChar w:fldCharType="end"/>
      </w:r>
    </w:p>
    <w:p w14:paraId="347DD1F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_Toc16909 </w:instrText>
      </w:r>
      <w:r>
        <w:rPr>
          <w:szCs w:val="32"/>
        </w:rPr>
        <w:fldChar w:fldCharType="separate"/>
      </w:r>
      <w:r>
        <w:rPr>
          <w:szCs w:val="28"/>
        </w:rPr>
        <w:t xml:space="preserve">3.1.6 </w:t>
      </w:r>
      <w:r>
        <w:rPr>
          <w:rFonts w:hint="eastAsia"/>
          <w:szCs w:val="28"/>
        </w:rPr>
        <w:t>草原综合植被盖度</w:t>
      </w:r>
      <w:r>
        <w:tab/>
      </w:r>
      <w:r>
        <w:fldChar w:fldCharType="begin"/>
      </w:r>
      <w:r>
        <w:instrText xml:space="preserve"> PAGEREF _Toc16909 </w:instrText>
      </w:r>
      <w:r>
        <w:fldChar w:fldCharType="separate"/>
      </w:r>
      <w:r>
        <w:t>28</w:t>
      </w:r>
      <w:r>
        <w:fldChar w:fldCharType="end"/>
      </w:r>
      <w:r>
        <w:rPr>
          <w:szCs w:val="32"/>
        </w:rPr>
        <w:fldChar w:fldCharType="end"/>
      </w:r>
    </w:p>
    <w:p w14:paraId="2082794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_Toc31277 </w:instrText>
      </w:r>
      <w:r>
        <w:rPr>
          <w:szCs w:val="32"/>
        </w:rPr>
        <w:fldChar w:fldCharType="separate"/>
      </w:r>
      <w:r>
        <w:rPr>
          <w:szCs w:val="28"/>
        </w:rPr>
        <w:t xml:space="preserve">3.1.7 </w:t>
      </w:r>
      <w:r>
        <w:rPr>
          <w:rFonts w:hint="eastAsia"/>
          <w:szCs w:val="28"/>
        </w:rPr>
        <w:t>草原健康状况</w:t>
      </w:r>
      <w:r>
        <w:tab/>
      </w:r>
      <w:r>
        <w:fldChar w:fldCharType="begin"/>
      </w:r>
      <w:r>
        <w:instrText xml:space="preserve"> PAGEREF _Toc31277 </w:instrText>
      </w:r>
      <w:r>
        <w:fldChar w:fldCharType="separate"/>
      </w:r>
      <w:r>
        <w:t>28</w:t>
      </w:r>
      <w:r>
        <w:fldChar w:fldCharType="end"/>
      </w:r>
      <w:r>
        <w:rPr>
          <w:szCs w:val="32"/>
        </w:rPr>
        <w:fldChar w:fldCharType="end"/>
      </w:r>
    </w:p>
    <w:p w14:paraId="3C05EE1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_Toc19508 </w:instrText>
      </w:r>
      <w:r>
        <w:rPr>
          <w:szCs w:val="32"/>
        </w:rPr>
        <w:fldChar w:fldCharType="separate"/>
      </w:r>
      <w:r>
        <w:rPr>
          <w:szCs w:val="28"/>
        </w:rPr>
        <w:t xml:space="preserve">3.1.8 </w:t>
      </w:r>
      <w:r>
        <w:rPr>
          <w:rFonts w:hint="eastAsia"/>
          <w:szCs w:val="28"/>
        </w:rPr>
        <w:t>草原退化情况</w:t>
      </w:r>
      <w:r>
        <w:tab/>
      </w:r>
      <w:r>
        <w:fldChar w:fldCharType="begin"/>
      </w:r>
      <w:r>
        <w:instrText xml:space="preserve"> PAGEREF _Toc19508 </w:instrText>
      </w:r>
      <w:r>
        <w:fldChar w:fldCharType="separate"/>
      </w:r>
      <w:r>
        <w:t>31</w:t>
      </w:r>
      <w:r>
        <w:fldChar w:fldCharType="end"/>
      </w:r>
      <w:r>
        <w:rPr>
          <w:szCs w:val="32"/>
        </w:rPr>
        <w:fldChar w:fldCharType="end"/>
      </w:r>
    </w:p>
    <w:p w14:paraId="0EB4D29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_Toc7768 </w:instrText>
      </w:r>
      <w:r>
        <w:rPr>
          <w:szCs w:val="32"/>
        </w:rPr>
        <w:fldChar w:fldCharType="separate"/>
      </w:r>
      <w:r>
        <w:rPr>
          <w:szCs w:val="28"/>
        </w:rPr>
        <w:t xml:space="preserve">3.1.9 </w:t>
      </w:r>
      <w:r>
        <w:rPr>
          <w:rFonts w:hint="eastAsia"/>
          <w:szCs w:val="28"/>
        </w:rPr>
        <w:t>草原有害生物发生情况</w:t>
      </w:r>
      <w:r>
        <w:tab/>
      </w:r>
      <w:r>
        <w:fldChar w:fldCharType="begin"/>
      </w:r>
      <w:r>
        <w:instrText xml:space="preserve"> PAGEREF _Toc7768 </w:instrText>
      </w:r>
      <w:r>
        <w:fldChar w:fldCharType="separate"/>
      </w:r>
      <w:r>
        <w:t>38</w:t>
      </w:r>
      <w:r>
        <w:fldChar w:fldCharType="end"/>
      </w:r>
      <w:r>
        <w:rPr>
          <w:szCs w:val="32"/>
        </w:rPr>
        <w:fldChar w:fldCharType="end"/>
      </w:r>
    </w:p>
    <w:p w14:paraId="1AE0DA2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_Toc26861 </w:instrText>
      </w:r>
      <w:r>
        <w:rPr>
          <w:szCs w:val="32"/>
        </w:rPr>
        <w:fldChar w:fldCharType="separate"/>
      </w:r>
      <w:r>
        <w:rPr>
          <w:szCs w:val="28"/>
        </w:rPr>
        <w:t xml:space="preserve">3.1.10 </w:t>
      </w:r>
      <w:r>
        <w:rPr>
          <w:rFonts w:hint="eastAsia"/>
          <w:szCs w:val="28"/>
        </w:rPr>
        <w:t>外来入侵物种发生情况</w:t>
      </w:r>
      <w:r>
        <w:tab/>
      </w:r>
      <w:r>
        <w:fldChar w:fldCharType="begin"/>
      </w:r>
      <w:r>
        <w:instrText xml:space="preserve"> PAGEREF _Toc26861 </w:instrText>
      </w:r>
      <w:r>
        <w:fldChar w:fldCharType="separate"/>
      </w:r>
      <w:r>
        <w:t>38</w:t>
      </w:r>
      <w:r>
        <w:fldChar w:fldCharType="end"/>
      </w:r>
      <w:r>
        <w:rPr>
          <w:szCs w:val="32"/>
        </w:rPr>
        <w:fldChar w:fldCharType="end"/>
      </w:r>
    </w:p>
    <w:p w14:paraId="3758715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_Toc14624 </w:instrText>
      </w:r>
      <w:r>
        <w:rPr>
          <w:szCs w:val="32"/>
        </w:rPr>
        <w:fldChar w:fldCharType="separate"/>
      </w:r>
      <w:r>
        <w:rPr>
          <w:rFonts w:hint="default" w:ascii="Times New Roman"/>
          <w:kern w:val="2"/>
          <w:szCs w:val="32"/>
        </w:rPr>
        <w:t>3.2 草原资源管理现状</w:t>
      </w:r>
      <w:r>
        <w:tab/>
      </w:r>
      <w:r>
        <w:fldChar w:fldCharType="begin"/>
      </w:r>
      <w:r>
        <w:instrText xml:space="preserve"> PAGEREF _Toc14624 </w:instrText>
      </w:r>
      <w:r>
        <w:fldChar w:fldCharType="separate"/>
      </w:r>
      <w:r>
        <w:t>40</w:t>
      </w:r>
      <w:r>
        <w:fldChar w:fldCharType="end"/>
      </w:r>
      <w:r>
        <w:rPr>
          <w:szCs w:val="32"/>
        </w:rPr>
        <w:fldChar w:fldCharType="end"/>
      </w:r>
    </w:p>
    <w:p w14:paraId="23275E9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_Toc8166 </w:instrText>
      </w:r>
      <w:r>
        <w:rPr>
          <w:szCs w:val="32"/>
        </w:rPr>
        <w:fldChar w:fldCharType="separate"/>
      </w:r>
      <w:r>
        <w:rPr>
          <w:szCs w:val="28"/>
        </w:rPr>
        <w:t xml:space="preserve">3.2.1 </w:t>
      </w:r>
      <w:r>
        <w:rPr>
          <w:rFonts w:hint="eastAsia"/>
          <w:szCs w:val="28"/>
        </w:rPr>
        <w:t>草原保护现状</w:t>
      </w:r>
      <w:r>
        <w:tab/>
      </w:r>
      <w:r>
        <w:fldChar w:fldCharType="begin"/>
      </w:r>
      <w:r>
        <w:instrText xml:space="preserve"> PAGEREF _Toc8166 </w:instrText>
      </w:r>
      <w:r>
        <w:fldChar w:fldCharType="separate"/>
      </w:r>
      <w:r>
        <w:t>40</w:t>
      </w:r>
      <w:r>
        <w:fldChar w:fldCharType="end"/>
      </w:r>
      <w:r>
        <w:rPr>
          <w:szCs w:val="32"/>
        </w:rPr>
        <w:fldChar w:fldCharType="end"/>
      </w:r>
    </w:p>
    <w:p w14:paraId="558F556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_Toc28644 </w:instrText>
      </w:r>
      <w:r>
        <w:rPr>
          <w:szCs w:val="32"/>
        </w:rPr>
        <w:fldChar w:fldCharType="separate"/>
      </w:r>
      <w:r>
        <w:rPr>
          <w:szCs w:val="28"/>
        </w:rPr>
        <w:t xml:space="preserve">3.2.2 </w:t>
      </w:r>
      <w:r>
        <w:rPr>
          <w:rFonts w:hint="eastAsia"/>
          <w:szCs w:val="28"/>
        </w:rPr>
        <w:t>草原修复现状</w:t>
      </w:r>
      <w:r>
        <w:tab/>
      </w:r>
      <w:r>
        <w:fldChar w:fldCharType="begin"/>
      </w:r>
      <w:r>
        <w:instrText xml:space="preserve"> PAGEREF _Toc28644 </w:instrText>
      </w:r>
      <w:r>
        <w:fldChar w:fldCharType="separate"/>
      </w:r>
      <w:r>
        <w:t>45</w:t>
      </w:r>
      <w:r>
        <w:fldChar w:fldCharType="end"/>
      </w:r>
      <w:r>
        <w:rPr>
          <w:szCs w:val="32"/>
        </w:rPr>
        <w:fldChar w:fldCharType="end"/>
      </w:r>
    </w:p>
    <w:p w14:paraId="092E189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_Toc5033 </w:instrText>
      </w:r>
      <w:r>
        <w:rPr>
          <w:szCs w:val="32"/>
        </w:rPr>
        <w:fldChar w:fldCharType="separate"/>
      </w:r>
      <w:r>
        <w:rPr>
          <w:szCs w:val="28"/>
        </w:rPr>
        <w:t xml:space="preserve">3.2.3 </w:t>
      </w:r>
      <w:r>
        <w:rPr>
          <w:rFonts w:hint="eastAsia"/>
          <w:szCs w:val="28"/>
        </w:rPr>
        <w:t>草业发展现状</w:t>
      </w:r>
      <w:r>
        <w:tab/>
      </w:r>
      <w:r>
        <w:fldChar w:fldCharType="begin"/>
      </w:r>
      <w:r>
        <w:instrText xml:space="preserve"> PAGEREF _Toc5033 </w:instrText>
      </w:r>
      <w:r>
        <w:fldChar w:fldCharType="separate"/>
      </w:r>
      <w:r>
        <w:t>47</w:t>
      </w:r>
      <w:r>
        <w:fldChar w:fldCharType="end"/>
      </w:r>
      <w:r>
        <w:rPr>
          <w:szCs w:val="32"/>
        </w:rPr>
        <w:fldChar w:fldCharType="end"/>
      </w:r>
    </w:p>
    <w:p w14:paraId="3C518CE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_Toc19215 </w:instrText>
      </w:r>
      <w:r>
        <w:rPr>
          <w:szCs w:val="32"/>
        </w:rPr>
        <w:fldChar w:fldCharType="separate"/>
      </w:r>
      <w:r>
        <w:rPr>
          <w:szCs w:val="28"/>
        </w:rPr>
        <w:t xml:space="preserve">3.2.4 </w:t>
      </w:r>
      <w:r>
        <w:rPr>
          <w:rFonts w:hint="eastAsia"/>
          <w:szCs w:val="28"/>
        </w:rPr>
        <w:t>草原碳汇现状</w:t>
      </w:r>
      <w:r>
        <w:tab/>
      </w:r>
      <w:r>
        <w:fldChar w:fldCharType="begin"/>
      </w:r>
      <w:r>
        <w:instrText xml:space="preserve"> PAGEREF _Toc19215 </w:instrText>
      </w:r>
      <w:r>
        <w:fldChar w:fldCharType="separate"/>
      </w:r>
      <w:r>
        <w:t>52</w:t>
      </w:r>
      <w:r>
        <w:fldChar w:fldCharType="end"/>
      </w:r>
      <w:r>
        <w:rPr>
          <w:szCs w:val="32"/>
        </w:rPr>
        <w:fldChar w:fldCharType="end"/>
      </w:r>
    </w:p>
    <w:p w14:paraId="66B22564">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_Toc25330 </w:instrText>
      </w:r>
      <w:r>
        <w:rPr>
          <w:szCs w:val="32"/>
        </w:rPr>
        <w:fldChar w:fldCharType="separate"/>
      </w:r>
      <w:r>
        <w:rPr>
          <w:rFonts w:hint="default" w:ascii="Times New Roman"/>
          <w:kern w:val="2"/>
          <w:szCs w:val="32"/>
        </w:rPr>
        <w:t>3.3 草原保护建设主要成就</w:t>
      </w:r>
      <w:r>
        <w:tab/>
      </w:r>
      <w:r>
        <w:fldChar w:fldCharType="begin"/>
      </w:r>
      <w:r>
        <w:instrText xml:space="preserve"> PAGEREF _Toc25330 </w:instrText>
      </w:r>
      <w:r>
        <w:fldChar w:fldCharType="separate"/>
      </w:r>
      <w:r>
        <w:t>55</w:t>
      </w:r>
      <w:r>
        <w:fldChar w:fldCharType="end"/>
      </w:r>
      <w:r>
        <w:rPr>
          <w:szCs w:val="32"/>
        </w:rPr>
        <w:fldChar w:fldCharType="end"/>
      </w:r>
    </w:p>
    <w:p w14:paraId="2AC27974">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_Toc11899 </w:instrText>
      </w:r>
      <w:r>
        <w:rPr>
          <w:szCs w:val="32"/>
        </w:rPr>
        <w:fldChar w:fldCharType="separate"/>
      </w:r>
      <w:r>
        <w:rPr>
          <w:rFonts w:hint="default" w:ascii="Times New Roman"/>
          <w:kern w:val="2"/>
          <w:szCs w:val="32"/>
        </w:rPr>
        <w:t>3.4 存在的主要问题</w:t>
      </w:r>
      <w:r>
        <w:tab/>
      </w:r>
      <w:r>
        <w:fldChar w:fldCharType="begin"/>
      </w:r>
      <w:r>
        <w:instrText xml:space="preserve"> PAGEREF _Toc11899 </w:instrText>
      </w:r>
      <w:r>
        <w:fldChar w:fldCharType="separate"/>
      </w:r>
      <w:r>
        <w:t>56</w:t>
      </w:r>
      <w:r>
        <w:fldChar w:fldCharType="end"/>
      </w:r>
      <w:r>
        <w:rPr>
          <w:szCs w:val="32"/>
        </w:rPr>
        <w:fldChar w:fldCharType="end"/>
      </w:r>
    </w:p>
    <w:p w14:paraId="0D6F7E0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_Toc27128 </w:instrText>
      </w:r>
      <w:r>
        <w:rPr>
          <w:szCs w:val="32"/>
        </w:rPr>
        <w:fldChar w:fldCharType="separate"/>
      </w:r>
      <w:r>
        <w:rPr>
          <w:szCs w:val="28"/>
        </w:rPr>
        <w:t xml:space="preserve">3.4.1 </w:t>
      </w:r>
      <w:r>
        <w:rPr>
          <w:rFonts w:hint="eastAsia"/>
          <w:szCs w:val="28"/>
        </w:rPr>
        <w:t>草原生态依然脆弱，保护修复任务艰巨</w:t>
      </w:r>
      <w:r>
        <w:tab/>
      </w:r>
      <w:r>
        <w:fldChar w:fldCharType="begin"/>
      </w:r>
      <w:r>
        <w:instrText xml:space="preserve"> PAGEREF _Toc27128 </w:instrText>
      </w:r>
      <w:r>
        <w:fldChar w:fldCharType="separate"/>
      </w:r>
      <w:r>
        <w:t>56</w:t>
      </w:r>
      <w:r>
        <w:fldChar w:fldCharType="end"/>
      </w:r>
      <w:r>
        <w:rPr>
          <w:szCs w:val="32"/>
        </w:rPr>
        <w:fldChar w:fldCharType="end"/>
      </w:r>
    </w:p>
    <w:p w14:paraId="06E7627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_Toc5668 </w:instrText>
      </w:r>
      <w:r>
        <w:rPr>
          <w:szCs w:val="32"/>
        </w:rPr>
        <w:fldChar w:fldCharType="separate"/>
      </w:r>
      <w:r>
        <w:rPr>
          <w:szCs w:val="28"/>
        </w:rPr>
        <w:t xml:space="preserve">3.4.2 </w:t>
      </w:r>
      <w:r>
        <w:rPr>
          <w:rFonts w:hint="eastAsia"/>
          <w:szCs w:val="28"/>
        </w:rPr>
        <w:t>草原保护与发展的矛盾依然突出</w:t>
      </w:r>
      <w:r>
        <w:tab/>
      </w:r>
      <w:r>
        <w:fldChar w:fldCharType="begin"/>
      </w:r>
      <w:r>
        <w:instrText xml:space="preserve"> PAGEREF _Toc5668 </w:instrText>
      </w:r>
      <w:r>
        <w:fldChar w:fldCharType="separate"/>
      </w:r>
      <w:r>
        <w:t>56</w:t>
      </w:r>
      <w:r>
        <w:fldChar w:fldCharType="end"/>
      </w:r>
      <w:r>
        <w:rPr>
          <w:szCs w:val="32"/>
        </w:rPr>
        <w:fldChar w:fldCharType="end"/>
      </w:r>
    </w:p>
    <w:p w14:paraId="1482C71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_Toc2791 </w:instrText>
      </w:r>
      <w:r>
        <w:rPr>
          <w:szCs w:val="32"/>
        </w:rPr>
        <w:fldChar w:fldCharType="separate"/>
      </w:r>
      <w:r>
        <w:rPr>
          <w:szCs w:val="28"/>
        </w:rPr>
        <w:t xml:space="preserve">3.4.3 </w:t>
      </w:r>
      <w:r>
        <w:rPr>
          <w:rFonts w:hint="eastAsia"/>
          <w:szCs w:val="28"/>
        </w:rPr>
        <w:t>草原综合治理体系不健全</w:t>
      </w:r>
      <w:r>
        <w:tab/>
      </w:r>
      <w:r>
        <w:fldChar w:fldCharType="begin"/>
      </w:r>
      <w:r>
        <w:instrText xml:space="preserve"> PAGEREF _Toc2791 </w:instrText>
      </w:r>
      <w:r>
        <w:fldChar w:fldCharType="separate"/>
      </w:r>
      <w:r>
        <w:t>57</w:t>
      </w:r>
      <w:r>
        <w:fldChar w:fldCharType="end"/>
      </w:r>
      <w:r>
        <w:rPr>
          <w:szCs w:val="32"/>
        </w:rPr>
        <w:fldChar w:fldCharType="end"/>
      </w:r>
    </w:p>
    <w:p w14:paraId="5C6D4F2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_Toc16702 </w:instrText>
      </w:r>
      <w:r>
        <w:rPr>
          <w:szCs w:val="32"/>
        </w:rPr>
        <w:fldChar w:fldCharType="separate"/>
      </w:r>
      <w:r>
        <w:rPr>
          <w:szCs w:val="28"/>
        </w:rPr>
        <w:t xml:space="preserve">3.4.4 </w:t>
      </w:r>
      <w:r>
        <w:rPr>
          <w:rFonts w:hint="eastAsia"/>
          <w:szCs w:val="28"/>
        </w:rPr>
        <w:t>草原科技支撑体系薄弱</w:t>
      </w:r>
      <w:r>
        <w:tab/>
      </w:r>
      <w:r>
        <w:fldChar w:fldCharType="begin"/>
      </w:r>
      <w:r>
        <w:instrText xml:space="preserve"> PAGEREF _Toc16702 </w:instrText>
      </w:r>
      <w:r>
        <w:fldChar w:fldCharType="separate"/>
      </w:r>
      <w:r>
        <w:t>57</w:t>
      </w:r>
      <w:r>
        <w:fldChar w:fldCharType="end"/>
      </w:r>
      <w:r>
        <w:rPr>
          <w:szCs w:val="32"/>
        </w:rPr>
        <w:fldChar w:fldCharType="end"/>
      </w:r>
    </w:p>
    <w:p w14:paraId="2E7D3C3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_Toc7945 </w:instrText>
      </w:r>
      <w:r>
        <w:rPr>
          <w:szCs w:val="32"/>
        </w:rPr>
        <w:fldChar w:fldCharType="separate"/>
      </w:r>
      <w:r>
        <w:rPr>
          <w:szCs w:val="28"/>
        </w:rPr>
        <w:t xml:space="preserve">3.4.5 </w:t>
      </w:r>
      <w:r>
        <w:rPr>
          <w:rFonts w:hint="eastAsia"/>
          <w:szCs w:val="28"/>
        </w:rPr>
        <w:t>草原产业发展相对滞后</w:t>
      </w:r>
      <w:r>
        <w:tab/>
      </w:r>
      <w:r>
        <w:fldChar w:fldCharType="begin"/>
      </w:r>
      <w:r>
        <w:instrText xml:space="preserve"> PAGEREF _Toc7945 </w:instrText>
      </w:r>
      <w:r>
        <w:fldChar w:fldCharType="separate"/>
      </w:r>
      <w:r>
        <w:t>57</w:t>
      </w:r>
      <w:r>
        <w:fldChar w:fldCharType="end"/>
      </w:r>
      <w:r>
        <w:rPr>
          <w:szCs w:val="32"/>
        </w:rPr>
        <w:fldChar w:fldCharType="end"/>
      </w:r>
    </w:p>
    <w:p w14:paraId="6FB6713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_Toc1831 </w:instrText>
      </w:r>
      <w:r>
        <w:rPr>
          <w:szCs w:val="32"/>
        </w:rPr>
        <w:fldChar w:fldCharType="separate"/>
      </w:r>
      <w:r>
        <w:rPr>
          <w:szCs w:val="28"/>
        </w:rPr>
        <w:t xml:space="preserve">3.4.6 </w:t>
      </w:r>
      <w:r>
        <w:rPr>
          <w:rFonts w:hint="eastAsia"/>
          <w:szCs w:val="28"/>
        </w:rPr>
        <w:t>监督执法管理能力不足</w:t>
      </w:r>
      <w:r>
        <w:tab/>
      </w:r>
      <w:r>
        <w:fldChar w:fldCharType="begin"/>
      </w:r>
      <w:r>
        <w:instrText xml:space="preserve"> PAGEREF _Toc1831 </w:instrText>
      </w:r>
      <w:r>
        <w:fldChar w:fldCharType="separate"/>
      </w:r>
      <w:r>
        <w:t>58</w:t>
      </w:r>
      <w:r>
        <w:fldChar w:fldCharType="end"/>
      </w:r>
      <w:r>
        <w:rPr>
          <w:szCs w:val="32"/>
        </w:rPr>
        <w:fldChar w:fldCharType="end"/>
      </w:r>
    </w:p>
    <w:p w14:paraId="0D0587A5">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_Toc32381 </w:instrText>
      </w:r>
      <w:r>
        <w:rPr>
          <w:szCs w:val="32"/>
        </w:rPr>
        <w:fldChar w:fldCharType="separate"/>
      </w:r>
      <w:r>
        <w:rPr>
          <w:rFonts w:hint="default" w:ascii="Times New Roman" w:hAnsi="Times New Roman"/>
          <w:kern w:val="2"/>
          <w:szCs w:val="32"/>
        </w:rPr>
        <w:t xml:space="preserve">3.5 </w:t>
      </w:r>
      <w:r>
        <w:rPr>
          <w:rFonts w:hint="default" w:ascii="Times New Roman"/>
          <w:kern w:val="2"/>
          <w:szCs w:val="32"/>
        </w:rPr>
        <w:t>发展机遇</w:t>
      </w:r>
      <w:r>
        <w:tab/>
      </w:r>
      <w:r>
        <w:fldChar w:fldCharType="begin"/>
      </w:r>
      <w:r>
        <w:instrText xml:space="preserve"> PAGEREF _Toc32381 </w:instrText>
      </w:r>
      <w:r>
        <w:fldChar w:fldCharType="separate"/>
      </w:r>
      <w:r>
        <w:t>58</w:t>
      </w:r>
      <w:r>
        <w:fldChar w:fldCharType="end"/>
      </w:r>
      <w:r>
        <w:rPr>
          <w:szCs w:val="32"/>
        </w:rPr>
        <w:fldChar w:fldCharType="end"/>
      </w:r>
    </w:p>
    <w:p w14:paraId="279A9E3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_Toc11477 </w:instrText>
      </w:r>
      <w:r>
        <w:rPr>
          <w:szCs w:val="32"/>
        </w:rPr>
        <w:fldChar w:fldCharType="separate"/>
      </w:r>
      <w:r>
        <w:rPr>
          <w:szCs w:val="28"/>
        </w:rPr>
        <w:t xml:space="preserve">3.5.1 </w:t>
      </w:r>
      <w:r>
        <w:rPr>
          <w:rFonts w:hint="eastAsia"/>
          <w:szCs w:val="28"/>
        </w:rPr>
        <w:t>生态文明建设为草原产业发展提供了根本遵循</w:t>
      </w:r>
      <w:r>
        <w:tab/>
      </w:r>
      <w:r>
        <w:fldChar w:fldCharType="begin"/>
      </w:r>
      <w:r>
        <w:instrText xml:space="preserve"> PAGEREF _Toc11477 </w:instrText>
      </w:r>
      <w:r>
        <w:fldChar w:fldCharType="separate"/>
      </w:r>
      <w:r>
        <w:t>58</w:t>
      </w:r>
      <w:r>
        <w:fldChar w:fldCharType="end"/>
      </w:r>
      <w:r>
        <w:rPr>
          <w:szCs w:val="32"/>
        </w:rPr>
        <w:fldChar w:fldCharType="end"/>
      </w:r>
    </w:p>
    <w:p w14:paraId="389E0B24">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_Toc14961 </w:instrText>
      </w:r>
      <w:r>
        <w:rPr>
          <w:szCs w:val="32"/>
        </w:rPr>
        <w:fldChar w:fldCharType="separate"/>
      </w:r>
      <w:r>
        <w:rPr>
          <w:szCs w:val="28"/>
        </w:rPr>
        <w:t xml:space="preserve">3.5.2 </w:t>
      </w:r>
      <w:r>
        <w:rPr>
          <w:rFonts w:hint="eastAsia"/>
          <w:szCs w:val="28"/>
        </w:rPr>
        <w:t>深化林草机构改革使草原功能定位改变</w:t>
      </w:r>
      <w:r>
        <w:tab/>
      </w:r>
      <w:r>
        <w:fldChar w:fldCharType="begin"/>
      </w:r>
      <w:r>
        <w:instrText xml:space="preserve"> PAGEREF _Toc14961 </w:instrText>
      </w:r>
      <w:r>
        <w:fldChar w:fldCharType="separate"/>
      </w:r>
      <w:r>
        <w:t>58</w:t>
      </w:r>
      <w:r>
        <w:fldChar w:fldCharType="end"/>
      </w:r>
      <w:r>
        <w:rPr>
          <w:szCs w:val="32"/>
        </w:rPr>
        <w:fldChar w:fldCharType="end"/>
      </w:r>
    </w:p>
    <w:p w14:paraId="74D05FB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_Toc1699 </w:instrText>
      </w:r>
      <w:r>
        <w:rPr>
          <w:szCs w:val="32"/>
        </w:rPr>
        <w:fldChar w:fldCharType="separate"/>
      </w:r>
      <w:r>
        <w:rPr>
          <w:szCs w:val="28"/>
        </w:rPr>
        <w:t xml:space="preserve">3.5.3 </w:t>
      </w:r>
      <w:r>
        <w:rPr>
          <w:rFonts w:hint="eastAsia"/>
          <w:szCs w:val="28"/>
        </w:rPr>
        <w:t>国家草原保护发展综合改革试验区建设为草原专项规划落地提供了契机</w:t>
      </w:r>
      <w:r>
        <w:tab/>
      </w:r>
      <w:r>
        <w:fldChar w:fldCharType="begin"/>
      </w:r>
      <w:r>
        <w:instrText xml:space="preserve"> PAGEREF _Toc1699 </w:instrText>
      </w:r>
      <w:r>
        <w:fldChar w:fldCharType="separate"/>
      </w:r>
      <w:r>
        <w:t>59</w:t>
      </w:r>
      <w:r>
        <w:fldChar w:fldCharType="end"/>
      </w:r>
      <w:r>
        <w:rPr>
          <w:szCs w:val="32"/>
        </w:rPr>
        <w:fldChar w:fldCharType="end"/>
      </w:r>
    </w:p>
    <w:p w14:paraId="28C8718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_Toc17962 </w:instrText>
      </w:r>
      <w:r>
        <w:rPr>
          <w:szCs w:val="32"/>
        </w:rPr>
        <w:fldChar w:fldCharType="separate"/>
      </w:r>
      <w:r>
        <w:rPr>
          <w:szCs w:val="28"/>
        </w:rPr>
        <w:t xml:space="preserve">3.5.4 </w:t>
      </w:r>
      <w:r>
        <w:rPr>
          <w:rFonts w:hint="eastAsia"/>
          <w:szCs w:val="28"/>
        </w:rPr>
        <w:t>全面推行林长制为草原保护修复提供了强制要求</w:t>
      </w:r>
      <w:r>
        <w:tab/>
      </w:r>
      <w:r>
        <w:fldChar w:fldCharType="begin"/>
      </w:r>
      <w:r>
        <w:instrText xml:space="preserve"> PAGEREF _Toc17962 </w:instrText>
      </w:r>
      <w:r>
        <w:fldChar w:fldCharType="separate"/>
      </w:r>
      <w:r>
        <w:t>59</w:t>
      </w:r>
      <w:r>
        <w:fldChar w:fldCharType="end"/>
      </w:r>
      <w:r>
        <w:rPr>
          <w:szCs w:val="32"/>
        </w:rPr>
        <w:fldChar w:fldCharType="end"/>
      </w:r>
    </w:p>
    <w:p w14:paraId="63C4F8C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_Toc20916 </w:instrText>
      </w:r>
      <w:r>
        <w:rPr>
          <w:szCs w:val="32"/>
        </w:rPr>
        <w:fldChar w:fldCharType="separate"/>
      </w:r>
      <w:r>
        <w:rPr>
          <w:szCs w:val="28"/>
        </w:rPr>
        <w:t xml:space="preserve">3.5.5 </w:t>
      </w:r>
      <w:r>
        <w:rPr>
          <w:rFonts w:hint="eastAsia"/>
          <w:szCs w:val="28"/>
        </w:rPr>
        <w:t>碳达峰碳中和为草原保护修复提出了新要求</w:t>
      </w:r>
      <w:r>
        <w:tab/>
      </w:r>
      <w:r>
        <w:fldChar w:fldCharType="begin"/>
      </w:r>
      <w:r>
        <w:instrText xml:space="preserve"> PAGEREF _Toc20916 </w:instrText>
      </w:r>
      <w:r>
        <w:fldChar w:fldCharType="separate"/>
      </w:r>
      <w:r>
        <w:t>59</w:t>
      </w:r>
      <w:r>
        <w:fldChar w:fldCharType="end"/>
      </w:r>
      <w:r>
        <w:rPr>
          <w:szCs w:val="32"/>
        </w:rPr>
        <w:fldChar w:fldCharType="end"/>
      </w:r>
    </w:p>
    <w:p w14:paraId="5ECFA23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_Toc28009 </w:instrText>
      </w:r>
      <w:r>
        <w:rPr>
          <w:szCs w:val="32"/>
        </w:rPr>
        <w:fldChar w:fldCharType="separate"/>
      </w:r>
      <w:r>
        <w:rPr>
          <w:szCs w:val="28"/>
        </w:rPr>
        <w:t xml:space="preserve">3.5.6 </w:t>
      </w:r>
      <w:r>
        <w:rPr>
          <w:rFonts w:hint="eastAsia"/>
          <w:szCs w:val="28"/>
        </w:rPr>
        <w:t>全面推进乡村振兴为推动草原保护修复和草产业发展赋予了新任务</w:t>
      </w:r>
      <w:r>
        <w:tab/>
      </w:r>
      <w:r>
        <w:fldChar w:fldCharType="begin"/>
      </w:r>
      <w:r>
        <w:instrText xml:space="preserve"> PAGEREF _Toc28009 </w:instrText>
      </w:r>
      <w:r>
        <w:fldChar w:fldCharType="separate"/>
      </w:r>
      <w:r>
        <w:t>60</w:t>
      </w:r>
      <w:r>
        <w:fldChar w:fldCharType="end"/>
      </w:r>
      <w:r>
        <w:rPr>
          <w:szCs w:val="32"/>
        </w:rPr>
        <w:fldChar w:fldCharType="end"/>
      </w:r>
    </w:p>
    <w:p w14:paraId="04D4551A">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_Toc18756 </w:instrText>
      </w:r>
      <w:r>
        <w:rPr>
          <w:szCs w:val="32"/>
        </w:rPr>
        <w:fldChar w:fldCharType="separate"/>
      </w:r>
      <w:r>
        <w:rPr>
          <w:rFonts w:eastAsia="宋体"/>
          <w:bCs/>
          <w:snapToGrid/>
          <w:kern w:val="44"/>
          <w:szCs w:val="44"/>
        </w:rPr>
        <w:t xml:space="preserve">4 </w:t>
      </w:r>
      <w:r>
        <w:rPr>
          <w:rFonts w:hint="eastAsia" w:eastAsia="宋体"/>
          <w:bCs/>
          <w:snapToGrid/>
          <w:kern w:val="44"/>
          <w:szCs w:val="44"/>
        </w:rPr>
        <w:t>规划总体思路</w:t>
      </w:r>
      <w:r>
        <w:tab/>
      </w:r>
      <w:r>
        <w:fldChar w:fldCharType="begin"/>
      </w:r>
      <w:r>
        <w:instrText xml:space="preserve"> PAGEREF _Toc18756 </w:instrText>
      </w:r>
      <w:r>
        <w:fldChar w:fldCharType="separate"/>
      </w:r>
      <w:r>
        <w:t>61</w:t>
      </w:r>
      <w:r>
        <w:fldChar w:fldCharType="end"/>
      </w:r>
      <w:r>
        <w:rPr>
          <w:szCs w:val="32"/>
        </w:rPr>
        <w:fldChar w:fldCharType="end"/>
      </w:r>
    </w:p>
    <w:p w14:paraId="46291BA5">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_Toc10993 </w:instrText>
      </w:r>
      <w:r>
        <w:rPr>
          <w:szCs w:val="32"/>
        </w:rPr>
        <w:fldChar w:fldCharType="separate"/>
      </w:r>
      <w:r>
        <w:rPr>
          <w:rFonts w:hint="default" w:ascii="Times New Roman"/>
          <w:kern w:val="2"/>
          <w:szCs w:val="32"/>
        </w:rPr>
        <w:t>4.1 指导思想</w:t>
      </w:r>
      <w:r>
        <w:tab/>
      </w:r>
      <w:r>
        <w:fldChar w:fldCharType="begin"/>
      </w:r>
      <w:r>
        <w:instrText xml:space="preserve"> PAGEREF _Toc10993 </w:instrText>
      </w:r>
      <w:r>
        <w:fldChar w:fldCharType="separate"/>
      </w:r>
      <w:r>
        <w:t>61</w:t>
      </w:r>
      <w:r>
        <w:fldChar w:fldCharType="end"/>
      </w:r>
      <w:r>
        <w:rPr>
          <w:szCs w:val="32"/>
        </w:rPr>
        <w:fldChar w:fldCharType="end"/>
      </w:r>
    </w:p>
    <w:p w14:paraId="4588366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_Toc24476 </w:instrText>
      </w:r>
      <w:r>
        <w:rPr>
          <w:szCs w:val="32"/>
        </w:rPr>
        <w:fldChar w:fldCharType="separate"/>
      </w:r>
      <w:r>
        <w:rPr>
          <w:rFonts w:hint="default" w:ascii="Times New Roman"/>
          <w:kern w:val="2"/>
          <w:szCs w:val="32"/>
        </w:rPr>
        <w:t xml:space="preserve">4.2 </w:t>
      </w:r>
      <w:r>
        <w:rPr>
          <w:rFonts w:ascii="Times New Roman"/>
          <w:kern w:val="2"/>
          <w:szCs w:val="32"/>
        </w:rPr>
        <w:t>规划</w:t>
      </w:r>
      <w:r>
        <w:rPr>
          <w:rFonts w:hint="default" w:ascii="Times New Roman"/>
          <w:kern w:val="2"/>
          <w:szCs w:val="32"/>
        </w:rPr>
        <w:t>原则</w:t>
      </w:r>
      <w:r>
        <w:tab/>
      </w:r>
      <w:r>
        <w:fldChar w:fldCharType="begin"/>
      </w:r>
      <w:r>
        <w:instrText xml:space="preserve"> PAGEREF _Toc24476 </w:instrText>
      </w:r>
      <w:r>
        <w:fldChar w:fldCharType="separate"/>
      </w:r>
      <w:r>
        <w:t>61</w:t>
      </w:r>
      <w:r>
        <w:fldChar w:fldCharType="end"/>
      </w:r>
      <w:r>
        <w:rPr>
          <w:szCs w:val="32"/>
        </w:rPr>
        <w:fldChar w:fldCharType="end"/>
      </w:r>
    </w:p>
    <w:p w14:paraId="5444BB95">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_Toc18486 </w:instrText>
      </w:r>
      <w:r>
        <w:rPr>
          <w:szCs w:val="32"/>
        </w:rPr>
        <w:fldChar w:fldCharType="separate"/>
      </w:r>
      <w:r>
        <w:rPr>
          <w:rFonts w:hint="default" w:ascii="Times New Roman"/>
          <w:kern w:val="2"/>
          <w:szCs w:val="32"/>
        </w:rPr>
        <w:t>4.3 规划范围与期限</w:t>
      </w:r>
      <w:r>
        <w:tab/>
      </w:r>
      <w:r>
        <w:fldChar w:fldCharType="begin"/>
      </w:r>
      <w:r>
        <w:instrText xml:space="preserve"> PAGEREF _Toc18486 </w:instrText>
      </w:r>
      <w:r>
        <w:fldChar w:fldCharType="separate"/>
      </w:r>
      <w:r>
        <w:t>62</w:t>
      </w:r>
      <w:r>
        <w:fldChar w:fldCharType="end"/>
      </w:r>
      <w:r>
        <w:rPr>
          <w:szCs w:val="32"/>
        </w:rPr>
        <w:fldChar w:fldCharType="end"/>
      </w:r>
    </w:p>
    <w:p w14:paraId="65201AD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_Toc32644 </w:instrText>
      </w:r>
      <w:r>
        <w:rPr>
          <w:szCs w:val="32"/>
        </w:rPr>
        <w:fldChar w:fldCharType="separate"/>
      </w:r>
      <w:r>
        <w:rPr>
          <w:szCs w:val="28"/>
        </w:rPr>
        <w:t>4.3.1 规划范围</w:t>
      </w:r>
      <w:r>
        <w:tab/>
      </w:r>
      <w:r>
        <w:fldChar w:fldCharType="begin"/>
      </w:r>
      <w:r>
        <w:instrText xml:space="preserve"> PAGEREF _Toc32644 </w:instrText>
      </w:r>
      <w:r>
        <w:fldChar w:fldCharType="separate"/>
      </w:r>
      <w:r>
        <w:t>62</w:t>
      </w:r>
      <w:r>
        <w:fldChar w:fldCharType="end"/>
      </w:r>
      <w:r>
        <w:rPr>
          <w:szCs w:val="32"/>
        </w:rPr>
        <w:fldChar w:fldCharType="end"/>
      </w:r>
    </w:p>
    <w:p w14:paraId="22C0F0F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_Toc14203 </w:instrText>
      </w:r>
      <w:r>
        <w:rPr>
          <w:szCs w:val="32"/>
        </w:rPr>
        <w:fldChar w:fldCharType="separate"/>
      </w:r>
      <w:r>
        <w:rPr>
          <w:szCs w:val="28"/>
        </w:rPr>
        <w:t>4.3.2 规划期限</w:t>
      </w:r>
      <w:r>
        <w:tab/>
      </w:r>
      <w:r>
        <w:fldChar w:fldCharType="begin"/>
      </w:r>
      <w:r>
        <w:instrText xml:space="preserve"> PAGEREF _Toc14203 </w:instrText>
      </w:r>
      <w:r>
        <w:fldChar w:fldCharType="separate"/>
      </w:r>
      <w:r>
        <w:t>62</w:t>
      </w:r>
      <w:r>
        <w:fldChar w:fldCharType="end"/>
      </w:r>
      <w:r>
        <w:rPr>
          <w:szCs w:val="32"/>
        </w:rPr>
        <w:fldChar w:fldCharType="end"/>
      </w:r>
    </w:p>
    <w:p w14:paraId="5152F882">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_Toc8805 </w:instrText>
      </w:r>
      <w:r>
        <w:rPr>
          <w:szCs w:val="32"/>
        </w:rPr>
        <w:fldChar w:fldCharType="separate"/>
      </w:r>
      <w:r>
        <w:rPr>
          <w:rFonts w:hint="default" w:ascii="Times New Roman"/>
          <w:kern w:val="2"/>
          <w:szCs w:val="32"/>
        </w:rPr>
        <w:t>4.4 规划依据</w:t>
      </w:r>
      <w:r>
        <w:tab/>
      </w:r>
      <w:r>
        <w:fldChar w:fldCharType="begin"/>
      </w:r>
      <w:r>
        <w:instrText xml:space="preserve"> PAGEREF _Toc8805 </w:instrText>
      </w:r>
      <w:r>
        <w:fldChar w:fldCharType="separate"/>
      </w:r>
      <w:r>
        <w:t>62</w:t>
      </w:r>
      <w:r>
        <w:fldChar w:fldCharType="end"/>
      </w:r>
      <w:r>
        <w:rPr>
          <w:szCs w:val="32"/>
        </w:rPr>
        <w:fldChar w:fldCharType="end"/>
      </w:r>
    </w:p>
    <w:p w14:paraId="6B5C467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_Toc25576 </w:instrText>
      </w:r>
      <w:r>
        <w:rPr>
          <w:szCs w:val="32"/>
        </w:rPr>
        <w:fldChar w:fldCharType="separate"/>
      </w:r>
      <w:r>
        <w:rPr>
          <w:szCs w:val="28"/>
        </w:rPr>
        <w:t xml:space="preserve">4.4.1 </w:t>
      </w:r>
      <w:r>
        <w:rPr>
          <w:rFonts w:hint="eastAsia"/>
          <w:szCs w:val="28"/>
        </w:rPr>
        <w:t>法律</w:t>
      </w:r>
      <w:r>
        <w:rPr>
          <w:szCs w:val="28"/>
        </w:rPr>
        <w:t>法规</w:t>
      </w:r>
      <w:r>
        <w:tab/>
      </w:r>
      <w:r>
        <w:fldChar w:fldCharType="begin"/>
      </w:r>
      <w:r>
        <w:instrText xml:space="preserve"> PAGEREF _Toc25576 </w:instrText>
      </w:r>
      <w:r>
        <w:fldChar w:fldCharType="separate"/>
      </w:r>
      <w:r>
        <w:t>62</w:t>
      </w:r>
      <w:r>
        <w:fldChar w:fldCharType="end"/>
      </w:r>
      <w:r>
        <w:rPr>
          <w:szCs w:val="32"/>
        </w:rPr>
        <w:fldChar w:fldCharType="end"/>
      </w:r>
    </w:p>
    <w:p w14:paraId="4AF3594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_Toc10374 </w:instrText>
      </w:r>
      <w:r>
        <w:rPr>
          <w:szCs w:val="32"/>
        </w:rPr>
        <w:fldChar w:fldCharType="separate"/>
      </w:r>
      <w:r>
        <w:rPr>
          <w:szCs w:val="28"/>
        </w:rPr>
        <w:t xml:space="preserve">4.4.2 </w:t>
      </w:r>
      <w:r>
        <w:rPr>
          <w:rFonts w:hint="eastAsia"/>
          <w:szCs w:val="28"/>
        </w:rPr>
        <w:t>政策</w:t>
      </w:r>
      <w:r>
        <w:rPr>
          <w:szCs w:val="28"/>
        </w:rPr>
        <w:t>文件及相关规划</w:t>
      </w:r>
      <w:r>
        <w:tab/>
      </w:r>
      <w:r>
        <w:fldChar w:fldCharType="begin"/>
      </w:r>
      <w:r>
        <w:instrText xml:space="preserve"> PAGEREF _Toc10374 </w:instrText>
      </w:r>
      <w:r>
        <w:fldChar w:fldCharType="separate"/>
      </w:r>
      <w:r>
        <w:t>63</w:t>
      </w:r>
      <w:r>
        <w:fldChar w:fldCharType="end"/>
      </w:r>
      <w:r>
        <w:rPr>
          <w:szCs w:val="32"/>
        </w:rPr>
        <w:fldChar w:fldCharType="end"/>
      </w:r>
    </w:p>
    <w:p w14:paraId="46C421A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_Toc20328 </w:instrText>
      </w:r>
      <w:r>
        <w:rPr>
          <w:szCs w:val="32"/>
        </w:rPr>
        <w:fldChar w:fldCharType="separate"/>
      </w:r>
      <w:r>
        <w:rPr>
          <w:szCs w:val="28"/>
        </w:rPr>
        <w:t xml:space="preserve">4.4.3 </w:t>
      </w:r>
      <w:r>
        <w:rPr>
          <w:rFonts w:hint="eastAsia"/>
          <w:szCs w:val="28"/>
        </w:rPr>
        <w:t>其他基础资料</w:t>
      </w:r>
      <w:r>
        <w:tab/>
      </w:r>
      <w:r>
        <w:fldChar w:fldCharType="begin"/>
      </w:r>
      <w:r>
        <w:instrText xml:space="preserve"> PAGEREF _Toc20328 </w:instrText>
      </w:r>
      <w:r>
        <w:fldChar w:fldCharType="separate"/>
      </w:r>
      <w:r>
        <w:t>64</w:t>
      </w:r>
      <w:r>
        <w:fldChar w:fldCharType="end"/>
      </w:r>
      <w:r>
        <w:rPr>
          <w:szCs w:val="32"/>
        </w:rPr>
        <w:fldChar w:fldCharType="end"/>
      </w:r>
    </w:p>
    <w:p w14:paraId="2D34B3D9">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_Toc3068 </w:instrText>
      </w:r>
      <w:r>
        <w:rPr>
          <w:szCs w:val="32"/>
        </w:rPr>
        <w:fldChar w:fldCharType="separate"/>
      </w:r>
      <w:r>
        <w:rPr>
          <w:rFonts w:hint="default" w:ascii="Times New Roman"/>
          <w:kern w:val="2"/>
          <w:szCs w:val="32"/>
        </w:rPr>
        <w:t>4.5 规划目标</w:t>
      </w:r>
      <w:r>
        <w:tab/>
      </w:r>
      <w:r>
        <w:fldChar w:fldCharType="begin"/>
      </w:r>
      <w:r>
        <w:instrText xml:space="preserve"> PAGEREF _Toc3068 </w:instrText>
      </w:r>
      <w:r>
        <w:fldChar w:fldCharType="separate"/>
      </w:r>
      <w:r>
        <w:t>65</w:t>
      </w:r>
      <w:r>
        <w:fldChar w:fldCharType="end"/>
      </w:r>
      <w:r>
        <w:rPr>
          <w:szCs w:val="32"/>
        </w:rPr>
        <w:fldChar w:fldCharType="end"/>
      </w:r>
    </w:p>
    <w:p w14:paraId="6334FECE">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_Toc21575 </w:instrText>
      </w:r>
      <w:r>
        <w:rPr>
          <w:szCs w:val="32"/>
        </w:rPr>
        <w:fldChar w:fldCharType="separate"/>
      </w:r>
      <w:r>
        <w:rPr>
          <w:rFonts w:hint="default" w:ascii="Times New Roman"/>
          <w:kern w:val="2"/>
          <w:szCs w:val="32"/>
        </w:rPr>
        <w:t>4.6 规划衔接</w:t>
      </w:r>
      <w:r>
        <w:tab/>
      </w:r>
      <w:r>
        <w:fldChar w:fldCharType="begin"/>
      </w:r>
      <w:r>
        <w:instrText xml:space="preserve"> PAGEREF _Toc21575 </w:instrText>
      </w:r>
      <w:r>
        <w:fldChar w:fldCharType="separate"/>
      </w:r>
      <w:r>
        <w:t>66</w:t>
      </w:r>
      <w:r>
        <w:fldChar w:fldCharType="end"/>
      </w:r>
      <w:r>
        <w:rPr>
          <w:szCs w:val="32"/>
        </w:rPr>
        <w:fldChar w:fldCharType="end"/>
      </w:r>
    </w:p>
    <w:p w14:paraId="4DA11A8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_Toc3138 </w:instrText>
      </w:r>
      <w:r>
        <w:rPr>
          <w:szCs w:val="32"/>
        </w:rPr>
        <w:fldChar w:fldCharType="separate"/>
      </w:r>
      <w:r>
        <w:rPr>
          <w:szCs w:val="28"/>
        </w:rPr>
        <w:t xml:space="preserve">4.6.1 </w:t>
      </w:r>
      <w:r>
        <w:rPr>
          <w:rFonts w:hint="eastAsia"/>
          <w:szCs w:val="28"/>
        </w:rPr>
        <w:t>与</w:t>
      </w:r>
      <w:r>
        <w:rPr>
          <w:szCs w:val="28"/>
        </w:rPr>
        <w:t>国土空间规划衔接</w:t>
      </w:r>
      <w:r>
        <w:tab/>
      </w:r>
      <w:r>
        <w:fldChar w:fldCharType="begin"/>
      </w:r>
      <w:r>
        <w:instrText xml:space="preserve"> PAGEREF _Toc3138 </w:instrText>
      </w:r>
      <w:r>
        <w:fldChar w:fldCharType="separate"/>
      </w:r>
      <w:r>
        <w:t>66</w:t>
      </w:r>
      <w:r>
        <w:fldChar w:fldCharType="end"/>
      </w:r>
      <w:r>
        <w:rPr>
          <w:szCs w:val="32"/>
        </w:rPr>
        <w:fldChar w:fldCharType="end"/>
      </w:r>
    </w:p>
    <w:p w14:paraId="2ACA5B3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_Toc20711 </w:instrText>
      </w:r>
      <w:r>
        <w:rPr>
          <w:szCs w:val="32"/>
        </w:rPr>
        <w:fldChar w:fldCharType="separate"/>
      </w:r>
      <w:r>
        <w:rPr>
          <w:szCs w:val="28"/>
        </w:rPr>
        <w:t xml:space="preserve">4.6.2 </w:t>
      </w:r>
      <w:r>
        <w:rPr>
          <w:rFonts w:hint="eastAsia"/>
          <w:szCs w:val="28"/>
        </w:rPr>
        <w:t>与昌都市国民</w:t>
      </w:r>
      <w:r>
        <w:rPr>
          <w:szCs w:val="28"/>
        </w:rPr>
        <w:t>经济和社会发展“十四五”规划和</w:t>
      </w:r>
      <w:r>
        <w:rPr>
          <w:rFonts w:hint="eastAsia"/>
          <w:szCs w:val="28"/>
        </w:rPr>
        <w:t>二〇三五年远景目标纲要的</w:t>
      </w:r>
      <w:r>
        <w:rPr>
          <w:szCs w:val="28"/>
        </w:rPr>
        <w:t>衔接</w:t>
      </w:r>
      <w:r>
        <w:tab/>
      </w:r>
      <w:r>
        <w:fldChar w:fldCharType="begin"/>
      </w:r>
      <w:r>
        <w:instrText xml:space="preserve"> PAGEREF _Toc20711 </w:instrText>
      </w:r>
      <w:r>
        <w:fldChar w:fldCharType="separate"/>
      </w:r>
      <w:r>
        <w:t>69</w:t>
      </w:r>
      <w:r>
        <w:fldChar w:fldCharType="end"/>
      </w:r>
      <w:r>
        <w:rPr>
          <w:szCs w:val="32"/>
        </w:rPr>
        <w:fldChar w:fldCharType="end"/>
      </w:r>
    </w:p>
    <w:p w14:paraId="2373E0E0">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_Toc8104 </w:instrText>
      </w:r>
      <w:r>
        <w:rPr>
          <w:szCs w:val="32"/>
        </w:rPr>
        <w:fldChar w:fldCharType="separate"/>
      </w:r>
      <w:r>
        <w:rPr>
          <w:szCs w:val="28"/>
        </w:rPr>
        <w:t xml:space="preserve">4.6.3 </w:t>
      </w:r>
      <w:r>
        <w:rPr>
          <w:rFonts w:hint="eastAsia"/>
          <w:szCs w:val="28"/>
        </w:rPr>
        <w:t>与昌都市“十五五”国民经济和社会发展基本思路的衔接</w:t>
      </w:r>
      <w:r>
        <w:tab/>
      </w:r>
      <w:r>
        <w:fldChar w:fldCharType="begin"/>
      </w:r>
      <w:r>
        <w:instrText xml:space="preserve"> PAGEREF _Toc8104 </w:instrText>
      </w:r>
      <w:r>
        <w:fldChar w:fldCharType="separate"/>
      </w:r>
      <w:r>
        <w:t>70</w:t>
      </w:r>
      <w:r>
        <w:fldChar w:fldCharType="end"/>
      </w:r>
      <w:r>
        <w:rPr>
          <w:szCs w:val="32"/>
        </w:rPr>
        <w:fldChar w:fldCharType="end"/>
      </w:r>
    </w:p>
    <w:p w14:paraId="1A3A388F">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_Toc30219 </w:instrText>
      </w:r>
      <w:r>
        <w:rPr>
          <w:szCs w:val="32"/>
        </w:rPr>
        <w:fldChar w:fldCharType="separate"/>
      </w:r>
      <w:r>
        <w:rPr>
          <w:szCs w:val="28"/>
        </w:rPr>
        <w:t xml:space="preserve">4.6.4 </w:t>
      </w:r>
      <w:r>
        <w:rPr>
          <w:rFonts w:hint="eastAsia"/>
          <w:szCs w:val="28"/>
        </w:rPr>
        <w:t>与林草生态保护修复相关</w:t>
      </w:r>
      <w:r>
        <w:rPr>
          <w:szCs w:val="28"/>
        </w:rPr>
        <w:t>规划衔接</w:t>
      </w:r>
      <w:r>
        <w:tab/>
      </w:r>
      <w:r>
        <w:fldChar w:fldCharType="begin"/>
      </w:r>
      <w:r>
        <w:instrText xml:space="preserve"> PAGEREF _Toc30219 </w:instrText>
      </w:r>
      <w:r>
        <w:fldChar w:fldCharType="separate"/>
      </w:r>
      <w:r>
        <w:t>71</w:t>
      </w:r>
      <w:r>
        <w:fldChar w:fldCharType="end"/>
      </w:r>
      <w:r>
        <w:rPr>
          <w:szCs w:val="32"/>
        </w:rPr>
        <w:fldChar w:fldCharType="end"/>
      </w:r>
    </w:p>
    <w:p w14:paraId="6A530AAC">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_Toc8419 </w:instrText>
      </w:r>
      <w:r>
        <w:rPr>
          <w:szCs w:val="32"/>
        </w:rPr>
        <w:fldChar w:fldCharType="separate"/>
      </w:r>
      <w:r>
        <w:rPr>
          <w:rFonts w:hint="default" w:ascii="Times New Roman"/>
          <w:kern w:val="2"/>
          <w:szCs w:val="32"/>
        </w:rPr>
        <w:t>4.7 总体布局</w:t>
      </w:r>
      <w:r>
        <w:tab/>
      </w:r>
      <w:r>
        <w:fldChar w:fldCharType="begin"/>
      </w:r>
      <w:r>
        <w:instrText xml:space="preserve"> PAGEREF _Toc8419 </w:instrText>
      </w:r>
      <w:r>
        <w:fldChar w:fldCharType="separate"/>
      </w:r>
      <w:r>
        <w:t>71</w:t>
      </w:r>
      <w:r>
        <w:fldChar w:fldCharType="end"/>
      </w:r>
      <w:r>
        <w:rPr>
          <w:szCs w:val="32"/>
        </w:rPr>
        <w:fldChar w:fldCharType="end"/>
      </w:r>
    </w:p>
    <w:p w14:paraId="1F1D5DF7">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_Toc29828 </w:instrText>
      </w:r>
      <w:r>
        <w:rPr>
          <w:szCs w:val="32"/>
        </w:rPr>
        <w:fldChar w:fldCharType="separate"/>
      </w:r>
      <w:r>
        <w:rPr>
          <w:rFonts w:eastAsia="宋体"/>
          <w:bCs/>
          <w:snapToGrid/>
          <w:kern w:val="44"/>
          <w:szCs w:val="44"/>
        </w:rPr>
        <w:t xml:space="preserve">5 </w:t>
      </w:r>
      <w:r>
        <w:rPr>
          <w:rFonts w:hint="eastAsia" w:eastAsia="宋体"/>
          <w:bCs/>
          <w:snapToGrid/>
          <w:kern w:val="44"/>
          <w:szCs w:val="44"/>
        </w:rPr>
        <w:t>主要任务及重点工程</w:t>
      </w:r>
      <w:r>
        <w:tab/>
      </w:r>
      <w:r>
        <w:fldChar w:fldCharType="begin"/>
      </w:r>
      <w:r>
        <w:instrText xml:space="preserve"> PAGEREF _Toc29828 </w:instrText>
      </w:r>
      <w:r>
        <w:fldChar w:fldCharType="separate"/>
      </w:r>
      <w:r>
        <w:t>77</w:t>
      </w:r>
      <w:r>
        <w:fldChar w:fldCharType="end"/>
      </w:r>
      <w:r>
        <w:rPr>
          <w:szCs w:val="32"/>
        </w:rPr>
        <w:fldChar w:fldCharType="end"/>
      </w:r>
    </w:p>
    <w:p w14:paraId="21193D0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_Toc8849 </w:instrText>
      </w:r>
      <w:r>
        <w:rPr>
          <w:szCs w:val="32"/>
        </w:rPr>
        <w:fldChar w:fldCharType="separate"/>
      </w:r>
      <w:r>
        <w:rPr>
          <w:rFonts w:hint="default" w:ascii="Times New Roman" w:hAnsi="Times New Roman"/>
          <w:kern w:val="2"/>
          <w:szCs w:val="32"/>
        </w:rPr>
        <w:t xml:space="preserve">5.1 </w:t>
      </w:r>
      <w:r>
        <w:rPr>
          <w:rFonts w:ascii="Times New Roman" w:hAnsi="Times New Roman"/>
          <w:kern w:val="2"/>
          <w:szCs w:val="32"/>
        </w:rPr>
        <w:t>主要任务</w:t>
      </w:r>
      <w:r>
        <w:tab/>
      </w:r>
      <w:r>
        <w:fldChar w:fldCharType="begin"/>
      </w:r>
      <w:r>
        <w:instrText xml:space="preserve"> PAGEREF _Toc8849 </w:instrText>
      </w:r>
      <w:r>
        <w:fldChar w:fldCharType="separate"/>
      </w:r>
      <w:r>
        <w:t>77</w:t>
      </w:r>
      <w:r>
        <w:fldChar w:fldCharType="end"/>
      </w:r>
      <w:r>
        <w:rPr>
          <w:szCs w:val="32"/>
        </w:rPr>
        <w:fldChar w:fldCharType="end"/>
      </w:r>
    </w:p>
    <w:p w14:paraId="0204D92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_Toc27979 </w:instrText>
      </w:r>
      <w:r>
        <w:rPr>
          <w:szCs w:val="32"/>
        </w:rPr>
        <w:fldChar w:fldCharType="separate"/>
      </w:r>
      <w:r>
        <w:rPr>
          <w:szCs w:val="28"/>
        </w:rPr>
        <w:t xml:space="preserve">5.1.1 </w:t>
      </w:r>
      <w:r>
        <w:rPr>
          <w:rFonts w:hint="eastAsia"/>
          <w:szCs w:val="28"/>
        </w:rPr>
        <w:t>加强草原资源保护</w:t>
      </w:r>
      <w:r>
        <w:tab/>
      </w:r>
      <w:r>
        <w:fldChar w:fldCharType="begin"/>
      </w:r>
      <w:r>
        <w:instrText xml:space="preserve"> PAGEREF _Toc27979 </w:instrText>
      </w:r>
      <w:r>
        <w:fldChar w:fldCharType="separate"/>
      </w:r>
      <w:r>
        <w:t>77</w:t>
      </w:r>
      <w:r>
        <w:fldChar w:fldCharType="end"/>
      </w:r>
      <w:r>
        <w:rPr>
          <w:szCs w:val="32"/>
        </w:rPr>
        <w:fldChar w:fldCharType="end"/>
      </w:r>
    </w:p>
    <w:p w14:paraId="509321C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_Toc24429 </w:instrText>
      </w:r>
      <w:r>
        <w:rPr>
          <w:szCs w:val="32"/>
        </w:rPr>
        <w:fldChar w:fldCharType="separate"/>
      </w:r>
      <w:r>
        <w:rPr>
          <w:szCs w:val="28"/>
        </w:rPr>
        <w:t xml:space="preserve">5.1.2 </w:t>
      </w:r>
      <w:r>
        <w:rPr>
          <w:rFonts w:hint="eastAsia"/>
          <w:szCs w:val="28"/>
        </w:rPr>
        <w:t>加快退化草原科学修复</w:t>
      </w:r>
      <w:r>
        <w:tab/>
      </w:r>
      <w:r>
        <w:fldChar w:fldCharType="begin"/>
      </w:r>
      <w:r>
        <w:instrText xml:space="preserve"> PAGEREF _Toc24429 </w:instrText>
      </w:r>
      <w:r>
        <w:fldChar w:fldCharType="separate"/>
      </w:r>
      <w:r>
        <w:t>77</w:t>
      </w:r>
      <w:r>
        <w:fldChar w:fldCharType="end"/>
      </w:r>
      <w:r>
        <w:rPr>
          <w:szCs w:val="32"/>
        </w:rPr>
        <w:fldChar w:fldCharType="end"/>
      </w:r>
    </w:p>
    <w:p w14:paraId="1E5627D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_Toc24386 </w:instrText>
      </w:r>
      <w:r>
        <w:rPr>
          <w:szCs w:val="32"/>
        </w:rPr>
        <w:fldChar w:fldCharType="separate"/>
      </w:r>
      <w:r>
        <w:rPr>
          <w:szCs w:val="28"/>
        </w:rPr>
        <w:t xml:space="preserve">5.1.3 </w:t>
      </w:r>
      <w:r>
        <w:rPr>
          <w:rFonts w:hint="eastAsia"/>
          <w:szCs w:val="28"/>
        </w:rPr>
        <w:t>促进草原合理开发利用</w:t>
      </w:r>
      <w:r>
        <w:tab/>
      </w:r>
      <w:r>
        <w:fldChar w:fldCharType="begin"/>
      </w:r>
      <w:r>
        <w:instrText xml:space="preserve"> PAGEREF _Toc24386 </w:instrText>
      </w:r>
      <w:r>
        <w:fldChar w:fldCharType="separate"/>
      </w:r>
      <w:r>
        <w:t>77</w:t>
      </w:r>
      <w:r>
        <w:fldChar w:fldCharType="end"/>
      </w:r>
      <w:r>
        <w:rPr>
          <w:szCs w:val="32"/>
        </w:rPr>
        <w:fldChar w:fldCharType="end"/>
      </w:r>
    </w:p>
    <w:p w14:paraId="4164FAE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_Toc13698 </w:instrText>
      </w:r>
      <w:r>
        <w:rPr>
          <w:szCs w:val="32"/>
        </w:rPr>
        <w:fldChar w:fldCharType="separate"/>
      </w:r>
      <w:r>
        <w:rPr>
          <w:szCs w:val="28"/>
        </w:rPr>
        <w:t xml:space="preserve">5.1.4 </w:t>
      </w:r>
      <w:r>
        <w:rPr>
          <w:rFonts w:hint="eastAsia"/>
          <w:szCs w:val="28"/>
        </w:rPr>
        <w:t>推动草原碳汇试验基地建设</w:t>
      </w:r>
      <w:r>
        <w:tab/>
      </w:r>
      <w:r>
        <w:fldChar w:fldCharType="begin"/>
      </w:r>
      <w:r>
        <w:instrText xml:space="preserve"> PAGEREF _Toc13698 </w:instrText>
      </w:r>
      <w:r>
        <w:fldChar w:fldCharType="separate"/>
      </w:r>
      <w:r>
        <w:t>78</w:t>
      </w:r>
      <w:r>
        <w:fldChar w:fldCharType="end"/>
      </w:r>
      <w:r>
        <w:rPr>
          <w:szCs w:val="32"/>
        </w:rPr>
        <w:fldChar w:fldCharType="end"/>
      </w:r>
    </w:p>
    <w:p w14:paraId="3503E13A">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_Toc26680 </w:instrText>
      </w:r>
      <w:r>
        <w:rPr>
          <w:szCs w:val="32"/>
        </w:rPr>
        <w:fldChar w:fldCharType="separate"/>
      </w:r>
      <w:r>
        <w:rPr>
          <w:szCs w:val="28"/>
        </w:rPr>
        <w:t xml:space="preserve">5.1.5 </w:t>
      </w:r>
      <w:r>
        <w:rPr>
          <w:rFonts w:hint="eastAsia"/>
          <w:szCs w:val="28"/>
        </w:rPr>
        <w:t>增强草原支撑保障能力</w:t>
      </w:r>
      <w:r>
        <w:tab/>
      </w:r>
      <w:r>
        <w:fldChar w:fldCharType="begin"/>
      </w:r>
      <w:r>
        <w:instrText xml:space="preserve"> PAGEREF _Toc26680 </w:instrText>
      </w:r>
      <w:r>
        <w:fldChar w:fldCharType="separate"/>
      </w:r>
      <w:r>
        <w:t>78</w:t>
      </w:r>
      <w:r>
        <w:fldChar w:fldCharType="end"/>
      </w:r>
      <w:r>
        <w:rPr>
          <w:szCs w:val="32"/>
        </w:rPr>
        <w:fldChar w:fldCharType="end"/>
      </w:r>
    </w:p>
    <w:p w14:paraId="2634D19A">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_Toc19363 </w:instrText>
      </w:r>
      <w:r>
        <w:rPr>
          <w:szCs w:val="32"/>
        </w:rPr>
        <w:fldChar w:fldCharType="separate"/>
      </w:r>
      <w:r>
        <w:rPr>
          <w:rFonts w:hint="default" w:ascii="Times New Roman" w:hAnsi="Times New Roman"/>
          <w:kern w:val="2"/>
          <w:szCs w:val="32"/>
        </w:rPr>
        <w:t xml:space="preserve">5.2 </w:t>
      </w:r>
      <w:r>
        <w:rPr>
          <w:rFonts w:ascii="Times New Roman" w:hAnsi="Times New Roman"/>
          <w:kern w:val="2"/>
          <w:szCs w:val="32"/>
        </w:rPr>
        <w:t>重点工程</w:t>
      </w:r>
      <w:r>
        <w:tab/>
      </w:r>
      <w:r>
        <w:fldChar w:fldCharType="begin"/>
      </w:r>
      <w:r>
        <w:instrText xml:space="preserve"> PAGEREF _Toc19363 </w:instrText>
      </w:r>
      <w:r>
        <w:fldChar w:fldCharType="separate"/>
      </w:r>
      <w:r>
        <w:t>79</w:t>
      </w:r>
      <w:r>
        <w:fldChar w:fldCharType="end"/>
      </w:r>
      <w:r>
        <w:rPr>
          <w:szCs w:val="32"/>
        </w:rPr>
        <w:fldChar w:fldCharType="end"/>
      </w:r>
    </w:p>
    <w:p w14:paraId="476CC26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_Toc6890 </w:instrText>
      </w:r>
      <w:r>
        <w:rPr>
          <w:szCs w:val="32"/>
        </w:rPr>
        <w:fldChar w:fldCharType="separate"/>
      </w:r>
      <w:r>
        <w:rPr>
          <w:szCs w:val="28"/>
        </w:rPr>
        <w:t>5.2.1 草原资源保护工程</w:t>
      </w:r>
      <w:r>
        <w:tab/>
      </w:r>
      <w:r>
        <w:fldChar w:fldCharType="begin"/>
      </w:r>
      <w:r>
        <w:instrText xml:space="preserve"> PAGEREF _Toc6890 </w:instrText>
      </w:r>
      <w:r>
        <w:fldChar w:fldCharType="separate"/>
      </w:r>
      <w:r>
        <w:t>79</w:t>
      </w:r>
      <w:r>
        <w:fldChar w:fldCharType="end"/>
      </w:r>
      <w:r>
        <w:rPr>
          <w:szCs w:val="32"/>
        </w:rPr>
        <w:fldChar w:fldCharType="end"/>
      </w:r>
    </w:p>
    <w:p w14:paraId="2DAF9ED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_Toc15342 </w:instrText>
      </w:r>
      <w:r>
        <w:rPr>
          <w:szCs w:val="32"/>
        </w:rPr>
        <w:fldChar w:fldCharType="separate"/>
      </w:r>
      <w:r>
        <w:rPr>
          <w:szCs w:val="28"/>
        </w:rPr>
        <w:t xml:space="preserve">5.2.2 </w:t>
      </w:r>
      <w:r>
        <w:rPr>
          <w:rFonts w:hint="eastAsia"/>
          <w:szCs w:val="28"/>
        </w:rPr>
        <w:t>草原生态修复工程</w:t>
      </w:r>
      <w:r>
        <w:tab/>
      </w:r>
      <w:r>
        <w:fldChar w:fldCharType="begin"/>
      </w:r>
      <w:r>
        <w:instrText xml:space="preserve"> PAGEREF _Toc15342 </w:instrText>
      </w:r>
      <w:r>
        <w:fldChar w:fldCharType="separate"/>
      </w:r>
      <w:r>
        <w:t>81</w:t>
      </w:r>
      <w:r>
        <w:fldChar w:fldCharType="end"/>
      </w:r>
      <w:r>
        <w:rPr>
          <w:szCs w:val="32"/>
        </w:rPr>
        <w:fldChar w:fldCharType="end"/>
      </w:r>
    </w:p>
    <w:p w14:paraId="527FAD9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_Toc31243 </w:instrText>
      </w:r>
      <w:r>
        <w:rPr>
          <w:szCs w:val="32"/>
        </w:rPr>
        <w:fldChar w:fldCharType="separate"/>
      </w:r>
      <w:r>
        <w:rPr>
          <w:szCs w:val="28"/>
        </w:rPr>
        <w:t xml:space="preserve">5.2.3 </w:t>
      </w:r>
      <w:r>
        <w:rPr>
          <w:rFonts w:hint="eastAsia"/>
          <w:szCs w:val="28"/>
        </w:rPr>
        <w:t>草业发展利用工程</w:t>
      </w:r>
      <w:r>
        <w:tab/>
      </w:r>
      <w:r>
        <w:fldChar w:fldCharType="begin"/>
      </w:r>
      <w:r>
        <w:instrText xml:space="preserve"> PAGEREF _Toc31243 </w:instrText>
      </w:r>
      <w:r>
        <w:fldChar w:fldCharType="separate"/>
      </w:r>
      <w:r>
        <w:t>91</w:t>
      </w:r>
      <w:r>
        <w:fldChar w:fldCharType="end"/>
      </w:r>
      <w:r>
        <w:rPr>
          <w:szCs w:val="32"/>
        </w:rPr>
        <w:fldChar w:fldCharType="end"/>
      </w:r>
    </w:p>
    <w:p w14:paraId="4D93015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_Toc13096 </w:instrText>
      </w:r>
      <w:r>
        <w:rPr>
          <w:szCs w:val="32"/>
        </w:rPr>
        <w:fldChar w:fldCharType="separate"/>
      </w:r>
      <w:r>
        <w:rPr>
          <w:szCs w:val="28"/>
        </w:rPr>
        <w:t xml:space="preserve">5.2.4 </w:t>
      </w:r>
      <w:r>
        <w:rPr>
          <w:rFonts w:hint="eastAsia"/>
          <w:szCs w:val="28"/>
        </w:rPr>
        <w:t>草原合理利用工程</w:t>
      </w:r>
      <w:r>
        <w:tab/>
      </w:r>
      <w:r>
        <w:fldChar w:fldCharType="begin"/>
      </w:r>
      <w:r>
        <w:instrText xml:space="preserve"> PAGEREF _Toc13096 </w:instrText>
      </w:r>
      <w:r>
        <w:fldChar w:fldCharType="separate"/>
      </w:r>
      <w:r>
        <w:t>93</w:t>
      </w:r>
      <w:r>
        <w:fldChar w:fldCharType="end"/>
      </w:r>
      <w:r>
        <w:rPr>
          <w:szCs w:val="32"/>
        </w:rPr>
        <w:fldChar w:fldCharType="end"/>
      </w:r>
    </w:p>
    <w:p w14:paraId="6612D749">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_Toc26786 </w:instrText>
      </w:r>
      <w:r>
        <w:rPr>
          <w:szCs w:val="32"/>
        </w:rPr>
        <w:fldChar w:fldCharType="separate"/>
      </w:r>
      <w:r>
        <w:rPr>
          <w:rFonts w:eastAsia="宋体"/>
          <w:bCs/>
          <w:snapToGrid/>
          <w:kern w:val="44"/>
          <w:szCs w:val="44"/>
        </w:rPr>
        <w:t>6 支撑保障体系建设</w:t>
      </w:r>
      <w:r>
        <w:tab/>
      </w:r>
      <w:r>
        <w:fldChar w:fldCharType="begin"/>
      </w:r>
      <w:r>
        <w:instrText xml:space="preserve"> PAGEREF _Toc26786 </w:instrText>
      </w:r>
      <w:r>
        <w:fldChar w:fldCharType="separate"/>
      </w:r>
      <w:r>
        <w:t>100</w:t>
      </w:r>
      <w:r>
        <w:fldChar w:fldCharType="end"/>
      </w:r>
      <w:r>
        <w:rPr>
          <w:szCs w:val="32"/>
        </w:rPr>
        <w:fldChar w:fldCharType="end"/>
      </w:r>
    </w:p>
    <w:p w14:paraId="3CBA939D">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_Toc13361 </w:instrText>
      </w:r>
      <w:r>
        <w:rPr>
          <w:szCs w:val="32"/>
        </w:rPr>
        <w:fldChar w:fldCharType="separate"/>
      </w:r>
      <w:r>
        <w:rPr>
          <w:rFonts w:hint="default" w:ascii="Times New Roman" w:hAnsi="Times New Roman"/>
          <w:kern w:val="2"/>
          <w:szCs w:val="32"/>
        </w:rPr>
        <w:t xml:space="preserve">6.1 </w:t>
      </w:r>
      <w:r>
        <w:rPr>
          <w:rFonts w:hint="default" w:ascii="Times New Roman"/>
          <w:kern w:val="2"/>
          <w:szCs w:val="32"/>
        </w:rPr>
        <w:t>草原监测信息化与监管智能化建设</w:t>
      </w:r>
      <w:r>
        <w:tab/>
      </w:r>
      <w:r>
        <w:fldChar w:fldCharType="begin"/>
      </w:r>
      <w:r>
        <w:instrText xml:space="preserve"> PAGEREF _Toc13361 </w:instrText>
      </w:r>
      <w:r>
        <w:fldChar w:fldCharType="separate"/>
      </w:r>
      <w:r>
        <w:t>100</w:t>
      </w:r>
      <w:r>
        <w:fldChar w:fldCharType="end"/>
      </w:r>
      <w:r>
        <w:rPr>
          <w:szCs w:val="32"/>
        </w:rPr>
        <w:fldChar w:fldCharType="end"/>
      </w:r>
    </w:p>
    <w:p w14:paraId="2ADB9244">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_Toc8764 </w:instrText>
      </w:r>
      <w:r>
        <w:rPr>
          <w:szCs w:val="32"/>
        </w:rPr>
        <w:fldChar w:fldCharType="separate"/>
      </w:r>
      <w:r>
        <w:rPr>
          <w:szCs w:val="28"/>
        </w:rPr>
        <w:t xml:space="preserve">6.1.1 </w:t>
      </w:r>
      <w:r>
        <w:rPr>
          <w:rFonts w:hint="eastAsia"/>
          <w:szCs w:val="28"/>
        </w:rPr>
        <w:t>草原综合调查监测建设</w:t>
      </w:r>
      <w:r>
        <w:tab/>
      </w:r>
      <w:r>
        <w:fldChar w:fldCharType="begin"/>
      </w:r>
      <w:r>
        <w:instrText xml:space="preserve"> PAGEREF _Toc8764 </w:instrText>
      </w:r>
      <w:r>
        <w:fldChar w:fldCharType="separate"/>
      </w:r>
      <w:r>
        <w:t>100</w:t>
      </w:r>
      <w:r>
        <w:fldChar w:fldCharType="end"/>
      </w:r>
      <w:r>
        <w:rPr>
          <w:szCs w:val="32"/>
        </w:rPr>
        <w:fldChar w:fldCharType="end"/>
      </w:r>
    </w:p>
    <w:p w14:paraId="5E47752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_Toc26596 </w:instrText>
      </w:r>
      <w:r>
        <w:rPr>
          <w:szCs w:val="32"/>
        </w:rPr>
        <w:fldChar w:fldCharType="separate"/>
      </w:r>
      <w:r>
        <w:rPr>
          <w:szCs w:val="28"/>
        </w:rPr>
        <w:t xml:space="preserve">6.1.2 </w:t>
      </w:r>
      <w:r>
        <w:rPr>
          <w:rFonts w:hint="eastAsia"/>
          <w:szCs w:val="28"/>
        </w:rPr>
        <w:t>“天空地”一体化林草监测预警体系建设</w:t>
      </w:r>
      <w:r>
        <w:tab/>
      </w:r>
      <w:r>
        <w:fldChar w:fldCharType="begin"/>
      </w:r>
      <w:r>
        <w:instrText xml:space="preserve"> PAGEREF _Toc26596 </w:instrText>
      </w:r>
      <w:r>
        <w:fldChar w:fldCharType="separate"/>
      </w:r>
      <w:r>
        <w:t>100</w:t>
      </w:r>
      <w:r>
        <w:fldChar w:fldCharType="end"/>
      </w:r>
      <w:r>
        <w:rPr>
          <w:szCs w:val="32"/>
        </w:rPr>
        <w:fldChar w:fldCharType="end"/>
      </w:r>
    </w:p>
    <w:p w14:paraId="3686FA5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_Toc8641 </w:instrText>
      </w:r>
      <w:r>
        <w:rPr>
          <w:szCs w:val="32"/>
        </w:rPr>
        <w:fldChar w:fldCharType="separate"/>
      </w:r>
      <w:r>
        <w:rPr>
          <w:szCs w:val="28"/>
        </w:rPr>
        <w:t xml:space="preserve">6.1.3 </w:t>
      </w:r>
      <w:r>
        <w:rPr>
          <w:rFonts w:hint="eastAsia"/>
          <w:szCs w:val="28"/>
        </w:rPr>
        <w:t>“数字孪生”体系建设</w:t>
      </w:r>
      <w:r>
        <w:tab/>
      </w:r>
      <w:r>
        <w:fldChar w:fldCharType="begin"/>
      </w:r>
      <w:r>
        <w:instrText xml:space="preserve"> PAGEREF _Toc8641 </w:instrText>
      </w:r>
      <w:r>
        <w:fldChar w:fldCharType="separate"/>
      </w:r>
      <w:r>
        <w:t>101</w:t>
      </w:r>
      <w:r>
        <w:fldChar w:fldCharType="end"/>
      </w:r>
      <w:r>
        <w:rPr>
          <w:szCs w:val="32"/>
        </w:rPr>
        <w:fldChar w:fldCharType="end"/>
      </w:r>
    </w:p>
    <w:p w14:paraId="3F60EFD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_Toc25881 </w:instrText>
      </w:r>
      <w:r>
        <w:rPr>
          <w:szCs w:val="32"/>
        </w:rPr>
        <w:fldChar w:fldCharType="separate"/>
      </w:r>
      <w:r>
        <w:rPr>
          <w:rFonts w:hint="default" w:ascii="Times New Roman" w:hAnsi="Times New Roman"/>
          <w:kern w:val="2"/>
          <w:szCs w:val="32"/>
        </w:rPr>
        <w:t xml:space="preserve">6.2 </w:t>
      </w:r>
      <w:r>
        <w:rPr>
          <w:rFonts w:hint="default" w:ascii="Times New Roman"/>
          <w:kern w:val="2"/>
          <w:szCs w:val="32"/>
        </w:rPr>
        <w:t>执法监督能力建设</w:t>
      </w:r>
      <w:r>
        <w:tab/>
      </w:r>
      <w:r>
        <w:fldChar w:fldCharType="begin"/>
      </w:r>
      <w:r>
        <w:instrText xml:space="preserve"> PAGEREF _Toc25881 </w:instrText>
      </w:r>
      <w:r>
        <w:fldChar w:fldCharType="separate"/>
      </w:r>
      <w:r>
        <w:t>102</w:t>
      </w:r>
      <w:r>
        <w:fldChar w:fldCharType="end"/>
      </w:r>
      <w:r>
        <w:rPr>
          <w:szCs w:val="32"/>
        </w:rPr>
        <w:fldChar w:fldCharType="end"/>
      </w:r>
    </w:p>
    <w:p w14:paraId="77B895C3">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_Toc21493 </w:instrText>
      </w:r>
      <w:r>
        <w:rPr>
          <w:szCs w:val="32"/>
        </w:rPr>
        <w:fldChar w:fldCharType="separate"/>
      </w:r>
      <w:r>
        <w:rPr>
          <w:szCs w:val="28"/>
        </w:rPr>
        <w:t xml:space="preserve">6.2.1 </w:t>
      </w:r>
      <w:r>
        <w:rPr>
          <w:rFonts w:hint="eastAsia"/>
          <w:szCs w:val="28"/>
        </w:rPr>
        <w:t>执法监督体系建设</w:t>
      </w:r>
      <w:r>
        <w:tab/>
      </w:r>
      <w:r>
        <w:fldChar w:fldCharType="begin"/>
      </w:r>
      <w:r>
        <w:instrText xml:space="preserve"> PAGEREF _Toc21493 </w:instrText>
      </w:r>
      <w:r>
        <w:fldChar w:fldCharType="separate"/>
      </w:r>
      <w:r>
        <w:t>102</w:t>
      </w:r>
      <w:r>
        <w:fldChar w:fldCharType="end"/>
      </w:r>
      <w:r>
        <w:rPr>
          <w:szCs w:val="32"/>
        </w:rPr>
        <w:fldChar w:fldCharType="end"/>
      </w:r>
    </w:p>
    <w:p w14:paraId="6DCC45A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_Toc31145 </w:instrText>
      </w:r>
      <w:r>
        <w:rPr>
          <w:szCs w:val="32"/>
        </w:rPr>
        <w:fldChar w:fldCharType="separate"/>
      </w:r>
      <w:r>
        <w:rPr>
          <w:szCs w:val="28"/>
        </w:rPr>
        <w:t xml:space="preserve">6.2.2 </w:t>
      </w:r>
      <w:r>
        <w:rPr>
          <w:rFonts w:hint="eastAsia"/>
          <w:szCs w:val="28"/>
        </w:rPr>
        <w:t>执法监督能力建设</w:t>
      </w:r>
      <w:r>
        <w:tab/>
      </w:r>
      <w:r>
        <w:fldChar w:fldCharType="begin"/>
      </w:r>
      <w:r>
        <w:instrText xml:space="preserve"> PAGEREF _Toc31145 </w:instrText>
      </w:r>
      <w:r>
        <w:fldChar w:fldCharType="separate"/>
      </w:r>
      <w:r>
        <w:t>102</w:t>
      </w:r>
      <w:r>
        <w:fldChar w:fldCharType="end"/>
      </w:r>
      <w:r>
        <w:rPr>
          <w:szCs w:val="32"/>
        </w:rPr>
        <w:fldChar w:fldCharType="end"/>
      </w:r>
    </w:p>
    <w:p w14:paraId="1E5F5EEE">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_Toc6882 </w:instrText>
      </w:r>
      <w:r>
        <w:rPr>
          <w:szCs w:val="32"/>
        </w:rPr>
        <w:fldChar w:fldCharType="separate"/>
      </w:r>
      <w:r>
        <w:rPr>
          <w:rFonts w:hint="default" w:ascii="Times New Roman" w:hAnsi="Times New Roman"/>
          <w:kern w:val="2"/>
          <w:szCs w:val="32"/>
        </w:rPr>
        <w:t xml:space="preserve">6.3 </w:t>
      </w:r>
      <w:r>
        <w:rPr>
          <w:rFonts w:hint="default" w:ascii="Times New Roman"/>
          <w:kern w:val="2"/>
          <w:szCs w:val="32"/>
        </w:rPr>
        <w:t>草原科技支撑能力提升建设</w:t>
      </w:r>
      <w:r>
        <w:tab/>
      </w:r>
      <w:r>
        <w:fldChar w:fldCharType="begin"/>
      </w:r>
      <w:r>
        <w:instrText xml:space="preserve"> PAGEREF _Toc6882 </w:instrText>
      </w:r>
      <w:r>
        <w:fldChar w:fldCharType="separate"/>
      </w:r>
      <w:r>
        <w:t>103</w:t>
      </w:r>
      <w:r>
        <w:fldChar w:fldCharType="end"/>
      </w:r>
      <w:r>
        <w:rPr>
          <w:szCs w:val="32"/>
        </w:rPr>
        <w:fldChar w:fldCharType="end"/>
      </w:r>
    </w:p>
    <w:p w14:paraId="5E4BCA6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_Toc1189 </w:instrText>
      </w:r>
      <w:r>
        <w:rPr>
          <w:szCs w:val="32"/>
        </w:rPr>
        <w:fldChar w:fldCharType="separate"/>
      </w:r>
      <w:r>
        <w:rPr>
          <w:rFonts w:hint="default" w:ascii="Times New Roman" w:hAnsi="Times New Roman"/>
          <w:kern w:val="2"/>
          <w:szCs w:val="32"/>
        </w:rPr>
        <w:t xml:space="preserve">6.4 </w:t>
      </w:r>
      <w:r>
        <w:rPr>
          <w:rFonts w:hint="default" w:ascii="Times New Roman"/>
          <w:kern w:val="2"/>
          <w:szCs w:val="32"/>
        </w:rPr>
        <w:t>草原灾害防控体系建设</w:t>
      </w:r>
      <w:r>
        <w:tab/>
      </w:r>
      <w:r>
        <w:fldChar w:fldCharType="begin"/>
      </w:r>
      <w:r>
        <w:instrText xml:space="preserve"> PAGEREF _Toc1189 </w:instrText>
      </w:r>
      <w:r>
        <w:fldChar w:fldCharType="separate"/>
      </w:r>
      <w:r>
        <w:t>104</w:t>
      </w:r>
      <w:r>
        <w:fldChar w:fldCharType="end"/>
      </w:r>
      <w:r>
        <w:rPr>
          <w:szCs w:val="32"/>
        </w:rPr>
        <w:fldChar w:fldCharType="end"/>
      </w:r>
    </w:p>
    <w:p w14:paraId="247EF53B">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_Toc4550 </w:instrText>
      </w:r>
      <w:r>
        <w:rPr>
          <w:szCs w:val="32"/>
        </w:rPr>
        <w:fldChar w:fldCharType="separate"/>
      </w:r>
      <w:r>
        <w:rPr>
          <w:szCs w:val="28"/>
        </w:rPr>
        <w:t xml:space="preserve">6.4.1 </w:t>
      </w:r>
      <w:r>
        <w:rPr>
          <w:rFonts w:hint="eastAsia"/>
          <w:szCs w:val="28"/>
        </w:rPr>
        <w:t>草原火灾防控体系建设工程</w:t>
      </w:r>
      <w:r>
        <w:tab/>
      </w:r>
      <w:r>
        <w:fldChar w:fldCharType="begin"/>
      </w:r>
      <w:r>
        <w:instrText xml:space="preserve"> PAGEREF _Toc4550 </w:instrText>
      </w:r>
      <w:r>
        <w:fldChar w:fldCharType="separate"/>
      </w:r>
      <w:r>
        <w:t>104</w:t>
      </w:r>
      <w:r>
        <w:fldChar w:fldCharType="end"/>
      </w:r>
      <w:r>
        <w:rPr>
          <w:szCs w:val="32"/>
        </w:rPr>
        <w:fldChar w:fldCharType="end"/>
      </w:r>
    </w:p>
    <w:p w14:paraId="4686458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_Toc13079 </w:instrText>
      </w:r>
      <w:r>
        <w:rPr>
          <w:szCs w:val="32"/>
        </w:rPr>
        <w:fldChar w:fldCharType="separate"/>
      </w:r>
      <w:r>
        <w:rPr>
          <w:szCs w:val="28"/>
        </w:rPr>
        <w:t xml:space="preserve">6.4.2 </w:t>
      </w:r>
      <w:r>
        <w:rPr>
          <w:rFonts w:hint="eastAsia"/>
          <w:szCs w:val="28"/>
        </w:rPr>
        <w:t>草原有害生物与自然灾害防治工程</w:t>
      </w:r>
      <w:r>
        <w:tab/>
      </w:r>
      <w:r>
        <w:fldChar w:fldCharType="begin"/>
      </w:r>
      <w:r>
        <w:instrText xml:space="preserve"> PAGEREF _Toc13079 </w:instrText>
      </w:r>
      <w:r>
        <w:fldChar w:fldCharType="separate"/>
      </w:r>
      <w:r>
        <w:t>107</w:t>
      </w:r>
      <w:r>
        <w:fldChar w:fldCharType="end"/>
      </w:r>
      <w:r>
        <w:rPr>
          <w:szCs w:val="32"/>
        </w:rPr>
        <w:fldChar w:fldCharType="end"/>
      </w:r>
    </w:p>
    <w:p w14:paraId="5D91B14A">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_Toc15672 </w:instrText>
      </w:r>
      <w:r>
        <w:rPr>
          <w:szCs w:val="32"/>
        </w:rPr>
        <w:fldChar w:fldCharType="separate"/>
      </w:r>
      <w:r>
        <w:rPr>
          <w:rFonts w:hint="default" w:ascii="Times New Roman" w:hAnsi="Times New Roman"/>
          <w:kern w:val="2"/>
          <w:szCs w:val="32"/>
        </w:rPr>
        <w:t xml:space="preserve">6.5 </w:t>
      </w:r>
      <w:r>
        <w:rPr>
          <w:rFonts w:hint="default" w:ascii="Times New Roman"/>
          <w:kern w:val="2"/>
          <w:szCs w:val="32"/>
        </w:rPr>
        <w:t>草原基层能力建设</w:t>
      </w:r>
      <w:r>
        <w:tab/>
      </w:r>
      <w:r>
        <w:fldChar w:fldCharType="begin"/>
      </w:r>
      <w:r>
        <w:instrText xml:space="preserve"> PAGEREF _Toc15672 </w:instrText>
      </w:r>
      <w:r>
        <w:fldChar w:fldCharType="separate"/>
      </w:r>
      <w:r>
        <w:t>109</w:t>
      </w:r>
      <w:r>
        <w:fldChar w:fldCharType="end"/>
      </w:r>
      <w:r>
        <w:rPr>
          <w:szCs w:val="32"/>
        </w:rPr>
        <w:fldChar w:fldCharType="end"/>
      </w:r>
    </w:p>
    <w:p w14:paraId="3F09958B">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_Toc15372 </w:instrText>
      </w:r>
      <w:r>
        <w:rPr>
          <w:szCs w:val="32"/>
        </w:rPr>
        <w:fldChar w:fldCharType="separate"/>
      </w:r>
      <w:r>
        <w:rPr>
          <w:rFonts w:hint="default" w:ascii="Times New Roman" w:hAnsi="Times New Roman"/>
          <w:kern w:val="2"/>
          <w:szCs w:val="32"/>
        </w:rPr>
        <w:t xml:space="preserve">6.6 </w:t>
      </w:r>
      <w:r>
        <w:rPr>
          <w:rFonts w:hint="default" w:ascii="Times New Roman"/>
          <w:kern w:val="2"/>
          <w:szCs w:val="32"/>
        </w:rPr>
        <w:t>生态价值转换机制建设</w:t>
      </w:r>
      <w:r>
        <w:tab/>
      </w:r>
      <w:r>
        <w:fldChar w:fldCharType="begin"/>
      </w:r>
      <w:r>
        <w:instrText xml:space="preserve"> PAGEREF _Toc15372 </w:instrText>
      </w:r>
      <w:r>
        <w:fldChar w:fldCharType="separate"/>
      </w:r>
      <w:r>
        <w:t>109</w:t>
      </w:r>
      <w:r>
        <w:fldChar w:fldCharType="end"/>
      </w:r>
      <w:r>
        <w:rPr>
          <w:szCs w:val="32"/>
        </w:rPr>
        <w:fldChar w:fldCharType="end"/>
      </w:r>
    </w:p>
    <w:p w14:paraId="1FE43C9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_Toc29082 </w:instrText>
      </w:r>
      <w:r>
        <w:rPr>
          <w:szCs w:val="32"/>
        </w:rPr>
        <w:fldChar w:fldCharType="separate"/>
      </w:r>
      <w:r>
        <w:rPr>
          <w:szCs w:val="28"/>
        </w:rPr>
        <w:t xml:space="preserve">6.6.1 </w:t>
      </w:r>
      <w:r>
        <w:rPr>
          <w:rFonts w:hint="eastAsia"/>
          <w:szCs w:val="28"/>
        </w:rPr>
        <w:t>生态产品调查监测机制建设</w:t>
      </w:r>
      <w:r>
        <w:tab/>
      </w:r>
      <w:r>
        <w:fldChar w:fldCharType="begin"/>
      </w:r>
      <w:r>
        <w:instrText xml:space="preserve"> PAGEREF _Toc29082 </w:instrText>
      </w:r>
      <w:r>
        <w:fldChar w:fldCharType="separate"/>
      </w:r>
      <w:r>
        <w:t>110</w:t>
      </w:r>
      <w:r>
        <w:fldChar w:fldCharType="end"/>
      </w:r>
      <w:r>
        <w:rPr>
          <w:szCs w:val="32"/>
        </w:rPr>
        <w:fldChar w:fldCharType="end"/>
      </w:r>
    </w:p>
    <w:p w14:paraId="3AC1BF0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_Toc23997 </w:instrText>
      </w:r>
      <w:r>
        <w:rPr>
          <w:szCs w:val="32"/>
        </w:rPr>
        <w:fldChar w:fldCharType="separate"/>
      </w:r>
      <w:r>
        <w:rPr>
          <w:szCs w:val="28"/>
        </w:rPr>
        <w:t xml:space="preserve">6.6.2 </w:t>
      </w:r>
      <w:r>
        <w:rPr>
          <w:rFonts w:hint="eastAsia"/>
          <w:szCs w:val="28"/>
        </w:rPr>
        <w:t>生态产品价值核算制度建设</w:t>
      </w:r>
      <w:r>
        <w:tab/>
      </w:r>
      <w:r>
        <w:fldChar w:fldCharType="begin"/>
      </w:r>
      <w:r>
        <w:instrText xml:space="preserve"> PAGEREF _Toc23997 </w:instrText>
      </w:r>
      <w:r>
        <w:fldChar w:fldCharType="separate"/>
      </w:r>
      <w:r>
        <w:t>110</w:t>
      </w:r>
      <w:r>
        <w:fldChar w:fldCharType="end"/>
      </w:r>
      <w:r>
        <w:rPr>
          <w:szCs w:val="32"/>
        </w:rPr>
        <w:fldChar w:fldCharType="end"/>
      </w:r>
    </w:p>
    <w:p w14:paraId="3F2E8FE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_Toc18977 </w:instrText>
      </w:r>
      <w:r>
        <w:rPr>
          <w:szCs w:val="32"/>
        </w:rPr>
        <w:fldChar w:fldCharType="separate"/>
      </w:r>
      <w:r>
        <w:rPr>
          <w:szCs w:val="28"/>
        </w:rPr>
        <w:t xml:space="preserve">6.6.3 </w:t>
      </w:r>
      <w:r>
        <w:rPr>
          <w:rFonts w:hint="eastAsia"/>
          <w:szCs w:val="28"/>
        </w:rPr>
        <w:t>生态产品经营开发机制建设</w:t>
      </w:r>
      <w:r>
        <w:tab/>
      </w:r>
      <w:r>
        <w:fldChar w:fldCharType="begin"/>
      </w:r>
      <w:r>
        <w:instrText xml:space="preserve"> PAGEREF _Toc18977 </w:instrText>
      </w:r>
      <w:r>
        <w:fldChar w:fldCharType="separate"/>
      </w:r>
      <w:r>
        <w:t>110</w:t>
      </w:r>
      <w:r>
        <w:fldChar w:fldCharType="end"/>
      </w:r>
      <w:r>
        <w:rPr>
          <w:szCs w:val="32"/>
        </w:rPr>
        <w:fldChar w:fldCharType="end"/>
      </w:r>
    </w:p>
    <w:p w14:paraId="5AE7F9B9">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_Toc11521 </w:instrText>
      </w:r>
      <w:r>
        <w:rPr>
          <w:szCs w:val="32"/>
        </w:rPr>
        <w:fldChar w:fldCharType="separate"/>
      </w:r>
      <w:r>
        <w:rPr>
          <w:szCs w:val="28"/>
        </w:rPr>
        <w:t xml:space="preserve">6.6.4 </w:t>
      </w:r>
      <w:r>
        <w:rPr>
          <w:rFonts w:hint="eastAsia"/>
          <w:szCs w:val="28"/>
        </w:rPr>
        <w:t>生态产品保护补偿机制建设</w:t>
      </w:r>
      <w:r>
        <w:tab/>
      </w:r>
      <w:r>
        <w:fldChar w:fldCharType="begin"/>
      </w:r>
      <w:r>
        <w:instrText xml:space="preserve"> PAGEREF _Toc11521 </w:instrText>
      </w:r>
      <w:r>
        <w:fldChar w:fldCharType="separate"/>
      </w:r>
      <w:r>
        <w:t>111</w:t>
      </w:r>
      <w:r>
        <w:fldChar w:fldCharType="end"/>
      </w:r>
      <w:r>
        <w:rPr>
          <w:szCs w:val="32"/>
        </w:rPr>
        <w:fldChar w:fldCharType="end"/>
      </w:r>
    </w:p>
    <w:p w14:paraId="721AB253">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_Toc7402 </w:instrText>
      </w:r>
      <w:r>
        <w:rPr>
          <w:szCs w:val="32"/>
        </w:rPr>
        <w:fldChar w:fldCharType="separate"/>
      </w:r>
      <w:r>
        <w:rPr>
          <w:szCs w:val="28"/>
        </w:rPr>
        <w:t xml:space="preserve">6.6.5 </w:t>
      </w:r>
      <w:r>
        <w:rPr>
          <w:rFonts w:hint="eastAsia"/>
          <w:szCs w:val="28"/>
        </w:rPr>
        <w:t>生态产品价值转换保障机制建设</w:t>
      </w:r>
      <w:r>
        <w:tab/>
      </w:r>
      <w:r>
        <w:fldChar w:fldCharType="begin"/>
      </w:r>
      <w:r>
        <w:instrText xml:space="preserve"> PAGEREF _Toc7402 </w:instrText>
      </w:r>
      <w:r>
        <w:fldChar w:fldCharType="separate"/>
      </w:r>
      <w:r>
        <w:t>111</w:t>
      </w:r>
      <w:r>
        <w:fldChar w:fldCharType="end"/>
      </w:r>
      <w:r>
        <w:rPr>
          <w:szCs w:val="32"/>
        </w:rPr>
        <w:fldChar w:fldCharType="end"/>
      </w:r>
    </w:p>
    <w:p w14:paraId="3EDC596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_Toc4480 </w:instrText>
      </w:r>
      <w:r>
        <w:rPr>
          <w:szCs w:val="32"/>
        </w:rPr>
        <w:fldChar w:fldCharType="separate"/>
      </w:r>
      <w:r>
        <w:rPr>
          <w:szCs w:val="28"/>
        </w:rPr>
        <w:t xml:space="preserve">6.6.6 </w:t>
      </w:r>
      <w:r>
        <w:rPr>
          <w:rFonts w:hint="eastAsia"/>
          <w:szCs w:val="28"/>
        </w:rPr>
        <w:t>推进草原碳汇交易</w:t>
      </w:r>
      <w:r>
        <w:tab/>
      </w:r>
      <w:r>
        <w:fldChar w:fldCharType="begin"/>
      </w:r>
      <w:r>
        <w:instrText xml:space="preserve"> PAGEREF _Toc4480 </w:instrText>
      </w:r>
      <w:r>
        <w:fldChar w:fldCharType="separate"/>
      </w:r>
      <w:r>
        <w:t>112</w:t>
      </w:r>
      <w:r>
        <w:fldChar w:fldCharType="end"/>
      </w:r>
      <w:r>
        <w:rPr>
          <w:szCs w:val="32"/>
        </w:rPr>
        <w:fldChar w:fldCharType="end"/>
      </w:r>
    </w:p>
    <w:p w14:paraId="60FAB5E1">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_Toc31997 </w:instrText>
      </w:r>
      <w:r>
        <w:rPr>
          <w:szCs w:val="32"/>
        </w:rPr>
        <w:fldChar w:fldCharType="separate"/>
      </w:r>
      <w:r>
        <w:rPr>
          <w:rFonts w:eastAsia="宋体"/>
          <w:bCs/>
          <w:snapToGrid/>
          <w:kern w:val="44"/>
          <w:szCs w:val="44"/>
        </w:rPr>
        <w:t xml:space="preserve">7 </w:t>
      </w:r>
      <w:r>
        <w:rPr>
          <w:rFonts w:hint="eastAsia" w:eastAsia="宋体"/>
          <w:bCs/>
          <w:snapToGrid/>
          <w:kern w:val="44"/>
          <w:szCs w:val="44"/>
        </w:rPr>
        <w:t>投资估算与建设时序</w:t>
      </w:r>
      <w:r>
        <w:tab/>
      </w:r>
      <w:r>
        <w:fldChar w:fldCharType="begin"/>
      </w:r>
      <w:r>
        <w:instrText xml:space="preserve"> PAGEREF _Toc31997 </w:instrText>
      </w:r>
      <w:r>
        <w:fldChar w:fldCharType="separate"/>
      </w:r>
      <w:r>
        <w:t>114</w:t>
      </w:r>
      <w:r>
        <w:fldChar w:fldCharType="end"/>
      </w:r>
      <w:r>
        <w:rPr>
          <w:szCs w:val="32"/>
        </w:rPr>
        <w:fldChar w:fldCharType="end"/>
      </w:r>
    </w:p>
    <w:p w14:paraId="491EFB0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_Toc23606 </w:instrText>
      </w:r>
      <w:r>
        <w:rPr>
          <w:szCs w:val="32"/>
        </w:rPr>
        <w:fldChar w:fldCharType="separate"/>
      </w:r>
      <w:r>
        <w:rPr>
          <w:rFonts w:hint="default" w:ascii="Times New Roman"/>
          <w:kern w:val="2"/>
          <w:szCs w:val="32"/>
        </w:rPr>
        <w:t xml:space="preserve">7.1 </w:t>
      </w:r>
      <w:r>
        <w:rPr>
          <w:rFonts w:ascii="Times New Roman"/>
          <w:kern w:val="2"/>
          <w:szCs w:val="32"/>
        </w:rPr>
        <w:t>投资估算</w:t>
      </w:r>
      <w:r>
        <w:tab/>
      </w:r>
      <w:r>
        <w:fldChar w:fldCharType="begin"/>
      </w:r>
      <w:r>
        <w:instrText xml:space="preserve"> PAGEREF _Toc23606 </w:instrText>
      </w:r>
      <w:r>
        <w:fldChar w:fldCharType="separate"/>
      </w:r>
      <w:r>
        <w:t>114</w:t>
      </w:r>
      <w:r>
        <w:fldChar w:fldCharType="end"/>
      </w:r>
      <w:r>
        <w:rPr>
          <w:szCs w:val="32"/>
        </w:rPr>
        <w:fldChar w:fldCharType="end"/>
      </w:r>
    </w:p>
    <w:p w14:paraId="4E2D60F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_Toc8496 </w:instrText>
      </w:r>
      <w:r>
        <w:rPr>
          <w:szCs w:val="32"/>
        </w:rPr>
        <w:fldChar w:fldCharType="separate"/>
      </w:r>
      <w:r>
        <w:rPr>
          <w:szCs w:val="28"/>
        </w:rPr>
        <w:t xml:space="preserve">7.1.1 </w:t>
      </w:r>
      <w:r>
        <w:rPr>
          <w:rFonts w:hint="eastAsia"/>
          <w:szCs w:val="28"/>
        </w:rPr>
        <w:t>投资估算依据</w:t>
      </w:r>
      <w:r>
        <w:tab/>
      </w:r>
      <w:r>
        <w:fldChar w:fldCharType="begin"/>
      </w:r>
      <w:r>
        <w:instrText xml:space="preserve"> PAGEREF _Toc8496 </w:instrText>
      </w:r>
      <w:r>
        <w:fldChar w:fldCharType="separate"/>
      </w:r>
      <w:r>
        <w:t>114</w:t>
      </w:r>
      <w:r>
        <w:fldChar w:fldCharType="end"/>
      </w:r>
      <w:r>
        <w:rPr>
          <w:szCs w:val="32"/>
        </w:rPr>
        <w:fldChar w:fldCharType="end"/>
      </w:r>
    </w:p>
    <w:p w14:paraId="135254E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_Toc4929 </w:instrText>
      </w:r>
      <w:r>
        <w:rPr>
          <w:szCs w:val="32"/>
        </w:rPr>
        <w:fldChar w:fldCharType="separate"/>
      </w:r>
      <w:r>
        <w:rPr>
          <w:szCs w:val="28"/>
        </w:rPr>
        <w:t xml:space="preserve">7.1.2 </w:t>
      </w:r>
      <w:r>
        <w:rPr>
          <w:rFonts w:hint="eastAsia"/>
          <w:szCs w:val="28"/>
        </w:rPr>
        <w:t>投资估算</w:t>
      </w:r>
      <w:r>
        <w:tab/>
      </w:r>
      <w:r>
        <w:fldChar w:fldCharType="begin"/>
      </w:r>
      <w:r>
        <w:instrText xml:space="preserve"> PAGEREF _Toc4929 </w:instrText>
      </w:r>
      <w:r>
        <w:fldChar w:fldCharType="separate"/>
      </w:r>
      <w:r>
        <w:t>115</w:t>
      </w:r>
      <w:r>
        <w:fldChar w:fldCharType="end"/>
      </w:r>
      <w:r>
        <w:rPr>
          <w:szCs w:val="32"/>
        </w:rPr>
        <w:fldChar w:fldCharType="end"/>
      </w:r>
    </w:p>
    <w:p w14:paraId="501FD462">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_Toc32576 </w:instrText>
      </w:r>
      <w:r>
        <w:rPr>
          <w:szCs w:val="32"/>
        </w:rPr>
        <w:fldChar w:fldCharType="separate"/>
      </w:r>
      <w:r>
        <w:rPr>
          <w:szCs w:val="28"/>
        </w:rPr>
        <w:t xml:space="preserve">7.1.3 </w:t>
      </w:r>
      <w:r>
        <w:rPr>
          <w:rFonts w:hint="eastAsia"/>
          <w:szCs w:val="28"/>
        </w:rPr>
        <w:t>资金来源</w:t>
      </w:r>
      <w:r>
        <w:tab/>
      </w:r>
      <w:r>
        <w:fldChar w:fldCharType="begin"/>
      </w:r>
      <w:r>
        <w:instrText xml:space="preserve"> PAGEREF _Toc32576 </w:instrText>
      </w:r>
      <w:r>
        <w:fldChar w:fldCharType="separate"/>
      </w:r>
      <w:r>
        <w:t>115</w:t>
      </w:r>
      <w:r>
        <w:fldChar w:fldCharType="end"/>
      </w:r>
      <w:r>
        <w:rPr>
          <w:szCs w:val="32"/>
        </w:rPr>
        <w:fldChar w:fldCharType="end"/>
      </w:r>
    </w:p>
    <w:p w14:paraId="296E49F9">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_Toc9503 </w:instrText>
      </w:r>
      <w:r>
        <w:rPr>
          <w:szCs w:val="32"/>
        </w:rPr>
        <w:fldChar w:fldCharType="separate"/>
      </w:r>
      <w:r>
        <w:rPr>
          <w:rFonts w:hint="default" w:ascii="Times New Roman"/>
          <w:kern w:val="2"/>
          <w:szCs w:val="32"/>
        </w:rPr>
        <w:t xml:space="preserve">7.2 </w:t>
      </w:r>
      <w:r>
        <w:rPr>
          <w:rFonts w:ascii="Times New Roman"/>
          <w:kern w:val="2"/>
          <w:szCs w:val="32"/>
        </w:rPr>
        <w:t>建设时序</w:t>
      </w:r>
      <w:r>
        <w:tab/>
      </w:r>
      <w:r>
        <w:fldChar w:fldCharType="begin"/>
      </w:r>
      <w:r>
        <w:instrText xml:space="preserve"> PAGEREF _Toc9503 </w:instrText>
      </w:r>
      <w:r>
        <w:fldChar w:fldCharType="separate"/>
      </w:r>
      <w:r>
        <w:t>115</w:t>
      </w:r>
      <w:r>
        <w:fldChar w:fldCharType="end"/>
      </w:r>
      <w:r>
        <w:rPr>
          <w:szCs w:val="32"/>
        </w:rPr>
        <w:fldChar w:fldCharType="end"/>
      </w:r>
    </w:p>
    <w:p w14:paraId="66529769">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_Toc9375 </w:instrText>
      </w:r>
      <w:r>
        <w:rPr>
          <w:szCs w:val="32"/>
        </w:rPr>
        <w:fldChar w:fldCharType="separate"/>
      </w:r>
      <w:r>
        <w:rPr>
          <w:rFonts w:eastAsia="宋体"/>
          <w:bCs/>
          <w:snapToGrid/>
          <w:kern w:val="44"/>
          <w:szCs w:val="44"/>
        </w:rPr>
        <w:t>8 环境影响评价</w:t>
      </w:r>
      <w:r>
        <w:tab/>
      </w:r>
      <w:r>
        <w:fldChar w:fldCharType="begin"/>
      </w:r>
      <w:r>
        <w:instrText xml:space="preserve"> PAGEREF _Toc9375 </w:instrText>
      </w:r>
      <w:r>
        <w:fldChar w:fldCharType="separate"/>
      </w:r>
      <w:r>
        <w:t>116</w:t>
      </w:r>
      <w:r>
        <w:fldChar w:fldCharType="end"/>
      </w:r>
      <w:r>
        <w:rPr>
          <w:szCs w:val="32"/>
        </w:rPr>
        <w:fldChar w:fldCharType="end"/>
      </w:r>
    </w:p>
    <w:p w14:paraId="2AF8B4F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_Toc1722 </w:instrText>
      </w:r>
      <w:r>
        <w:rPr>
          <w:szCs w:val="32"/>
        </w:rPr>
        <w:fldChar w:fldCharType="separate"/>
      </w:r>
      <w:r>
        <w:rPr>
          <w:rFonts w:hint="default" w:ascii="Times New Roman"/>
          <w:kern w:val="2"/>
          <w:szCs w:val="32"/>
        </w:rPr>
        <w:t>8.1 生态环境影响预测与评价</w:t>
      </w:r>
      <w:r>
        <w:tab/>
      </w:r>
      <w:r>
        <w:fldChar w:fldCharType="begin"/>
      </w:r>
      <w:r>
        <w:instrText xml:space="preserve"> PAGEREF _Toc1722 </w:instrText>
      </w:r>
      <w:r>
        <w:fldChar w:fldCharType="separate"/>
      </w:r>
      <w:r>
        <w:t>116</w:t>
      </w:r>
      <w:r>
        <w:fldChar w:fldCharType="end"/>
      </w:r>
      <w:r>
        <w:rPr>
          <w:szCs w:val="32"/>
        </w:rPr>
        <w:fldChar w:fldCharType="end"/>
      </w:r>
    </w:p>
    <w:p w14:paraId="27619858">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_Toc25286 </w:instrText>
      </w:r>
      <w:r>
        <w:rPr>
          <w:szCs w:val="32"/>
        </w:rPr>
        <w:fldChar w:fldCharType="separate"/>
      </w:r>
      <w:r>
        <w:rPr>
          <w:szCs w:val="28"/>
        </w:rPr>
        <w:t xml:space="preserve">8.1.1 </w:t>
      </w:r>
      <w:r>
        <w:rPr>
          <w:rFonts w:hint="eastAsia"/>
          <w:szCs w:val="28"/>
        </w:rPr>
        <w:t>草原生态保护与修复对生态环境的影响</w:t>
      </w:r>
      <w:r>
        <w:tab/>
      </w:r>
      <w:r>
        <w:fldChar w:fldCharType="begin"/>
      </w:r>
      <w:r>
        <w:instrText xml:space="preserve"> PAGEREF _Toc25286 </w:instrText>
      </w:r>
      <w:r>
        <w:fldChar w:fldCharType="separate"/>
      </w:r>
      <w:r>
        <w:t>116</w:t>
      </w:r>
      <w:r>
        <w:fldChar w:fldCharType="end"/>
      </w:r>
      <w:r>
        <w:rPr>
          <w:szCs w:val="32"/>
        </w:rPr>
        <w:fldChar w:fldCharType="end"/>
      </w:r>
    </w:p>
    <w:p w14:paraId="5A4505CD">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_Toc6904 </w:instrText>
      </w:r>
      <w:r>
        <w:rPr>
          <w:szCs w:val="32"/>
        </w:rPr>
        <w:fldChar w:fldCharType="separate"/>
      </w:r>
      <w:r>
        <w:rPr>
          <w:szCs w:val="28"/>
        </w:rPr>
        <w:t xml:space="preserve">8.1.2 </w:t>
      </w:r>
      <w:r>
        <w:rPr>
          <w:rFonts w:hint="eastAsia"/>
          <w:szCs w:val="28"/>
        </w:rPr>
        <w:t>基础设施建设对生态环境的影响</w:t>
      </w:r>
      <w:r>
        <w:tab/>
      </w:r>
      <w:r>
        <w:fldChar w:fldCharType="begin"/>
      </w:r>
      <w:r>
        <w:instrText xml:space="preserve"> PAGEREF _Toc6904 </w:instrText>
      </w:r>
      <w:r>
        <w:fldChar w:fldCharType="separate"/>
      </w:r>
      <w:r>
        <w:t>117</w:t>
      </w:r>
      <w:r>
        <w:fldChar w:fldCharType="end"/>
      </w:r>
      <w:r>
        <w:rPr>
          <w:szCs w:val="32"/>
        </w:rPr>
        <w:fldChar w:fldCharType="end"/>
      </w:r>
    </w:p>
    <w:p w14:paraId="3B59C9FE">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_Toc21265 </w:instrText>
      </w:r>
      <w:r>
        <w:rPr>
          <w:szCs w:val="32"/>
        </w:rPr>
        <w:fldChar w:fldCharType="separate"/>
      </w:r>
      <w:r>
        <w:rPr>
          <w:szCs w:val="28"/>
        </w:rPr>
        <w:t xml:space="preserve">8.1.3 </w:t>
      </w:r>
      <w:r>
        <w:rPr>
          <w:rFonts w:hint="eastAsia"/>
          <w:szCs w:val="28"/>
        </w:rPr>
        <w:t>草原生态保护修复与发展项目草种选择的环境影响</w:t>
      </w:r>
      <w:r>
        <w:tab/>
      </w:r>
      <w:r>
        <w:fldChar w:fldCharType="begin"/>
      </w:r>
      <w:r>
        <w:instrText xml:space="preserve"> PAGEREF _Toc21265 </w:instrText>
      </w:r>
      <w:r>
        <w:fldChar w:fldCharType="separate"/>
      </w:r>
      <w:r>
        <w:t>117</w:t>
      </w:r>
      <w:r>
        <w:fldChar w:fldCharType="end"/>
      </w:r>
      <w:r>
        <w:rPr>
          <w:szCs w:val="32"/>
        </w:rPr>
        <w:fldChar w:fldCharType="end"/>
      </w:r>
    </w:p>
    <w:p w14:paraId="746BF32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_Toc30633 </w:instrText>
      </w:r>
      <w:r>
        <w:rPr>
          <w:szCs w:val="32"/>
        </w:rPr>
        <w:fldChar w:fldCharType="separate"/>
      </w:r>
      <w:r>
        <w:rPr>
          <w:rFonts w:hint="default" w:ascii="Times New Roman"/>
          <w:kern w:val="2"/>
          <w:szCs w:val="32"/>
        </w:rPr>
        <w:t xml:space="preserve">8.2 </w:t>
      </w:r>
      <w:r>
        <w:rPr>
          <w:rFonts w:ascii="Times New Roman"/>
          <w:kern w:val="2"/>
          <w:szCs w:val="32"/>
        </w:rPr>
        <w:t>规划建设对区域污染物预测与评价</w:t>
      </w:r>
      <w:r>
        <w:tab/>
      </w:r>
      <w:r>
        <w:fldChar w:fldCharType="begin"/>
      </w:r>
      <w:r>
        <w:instrText xml:space="preserve"> PAGEREF _Toc30633 </w:instrText>
      </w:r>
      <w:r>
        <w:fldChar w:fldCharType="separate"/>
      </w:r>
      <w:r>
        <w:t>117</w:t>
      </w:r>
      <w:r>
        <w:fldChar w:fldCharType="end"/>
      </w:r>
      <w:r>
        <w:rPr>
          <w:szCs w:val="32"/>
        </w:rPr>
        <w:fldChar w:fldCharType="end"/>
      </w:r>
    </w:p>
    <w:p w14:paraId="1064A03C">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_Toc5735 </w:instrText>
      </w:r>
      <w:r>
        <w:rPr>
          <w:szCs w:val="32"/>
        </w:rPr>
        <w:fldChar w:fldCharType="separate"/>
      </w:r>
      <w:r>
        <w:rPr>
          <w:rFonts w:hint="default" w:ascii="Times New Roman"/>
          <w:kern w:val="2"/>
          <w:szCs w:val="32"/>
        </w:rPr>
        <w:t>8.3 规划实施对经济社会和人文环境的影响</w:t>
      </w:r>
      <w:r>
        <w:tab/>
      </w:r>
      <w:r>
        <w:fldChar w:fldCharType="begin"/>
      </w:r>
      <w:r>
        <w:instrText xml:space="preserve"> PAGEREF _Toc5735 </w:instrText>
      </w:r>
      <w:r>
        <w:fldChar w:fldCharType="separate"/>
      </w:r>
      <w:r>
        <w:t>119</w:t>
      </w:r>
      <w:r>
        <w:fldChar w:fldCharType="end"/>
      </w:r>
      <w:r>
        <w:rPr>
          <w:szCs w:val="32"/>
        </w:rPr>
        <w:fldChar w:fldCharType="end"/>
      </w:r>
    </w:p>
    <w:p w14:paraId="2E4F32CC">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_Toc31497 </w:instrText>
      </w:r>
      <w:r>
        <w:rPr>
          <w:szCs w:val="32"/>
        </w:rPr>
        <w:fldChar w:fldCharType="separate"/>
      </w:r>
      <w:r>
        <w:rPr>
          <w:rFonts w:hint="default" w:ascii="Times New Roman"/>
          <w:kern w:val="2"/>
          <w:szCs w:val="32"/>
        </w:rPr>
        <w:t>8.4 环境保护措施</w:t>
      </w:r>
      <w:r>
        <w:tab/>
      </w:r>
      <w:r>
        <w:fldChar w:fldCharType="begin"/>
      </w:r>
      <w:r>
        <w:instrText xml:space="preserve"> PAGEREF _Toc31497 </w:instrText>
      </w:r>
      <w:r>
        <w:fldChar w:fldCharType="separate"/>
      </w:r>
      <w:r>
        <w:t>119</w:t>
      </w:r>
      <w:r>
        <w:fldChar w:fldCharType="end"/>
      </w:r>
      <w:r>
        <w:rPr>
          <w:szCs w:val="32"/>
        </w:rPr>
        <w:fldChar w:fldCharType="end"/>
      </w:r>
    </w:p>
    <w:p w14:paraId="15A260D6">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_Toc5953 </w:instrText>
      </w:r>
      <w:r>
        <w:rPr>
          <w:szCs w:val="32"/>
        </w:rPr>
        <w:fldChar w:fldCharType="separate"/>
      </w:r>
      <w:r>
        <w:rPr>
          <w:szCs w:val="28"/>
        </w:rPr>
        <w:t xml:space="preserve">8.4.1 </w:t>
      </w:r>
      <w:r>
        <w:rPr>
          <w:rFonts w:hint="eastAsia"/>
          <w:szCs w:val="28"/>
        </w:rPr>
        <w:t>强化大气污染防治、保障区域居民生活环境质量</w:t>
      </w:r>
      <w:r>
        <w:tab/>
      </w:r>
      <w:r>
        <w:fldChar w:fldCharType="begin"/>
      </w:r>
      <w:r>
        <w:instrText xml:space="preserve"> PAGEREF _Toc5953 </w:instrText>
      </w:r>
      <w:r>
        <w:fldChar w:fldCharType="separate"/>
      </w:r>
      <w:r>
        <w:t>119</w:t>
      </w:r>
      <w:r>
        <w:fldChar w:fldCharType="end"/>
      </w:r>
      <w:r>
        <w:rPr>
          <w:szCs w:val="32"/>
        </w:rPr>
        <w:fldChar w:fldCharType="end"/>
      </w:r>
    </w:p>
    <w:p w14:paraId="3E4E9C93">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_Toc32305 </w:instrText>
      </w:r>
      <w:r>
        <w:rPr>
          <w:szCs w:val="32"/>
        </w:rPr>
        <w:fldChar w:fldCharType="separate"/>
      </w:r>
      <w:r>
        <w:rPr>
          <w:szCs w:val="28"/>
        </w:rPr>
        <w:t xml:space="preserve">8.4.2 </w:t>
      </w:r>
      <w:r>
        <w:rPr>
          <w:rFonts w:hint="eastAsia"/>
          <w:szCs w:val="28"/>
        </w:rPr>
        <w:t>推进水污染防治、保障水资源质量</w:t>
      </w:r>
      <w:r>
        <w:tab/>
      </w:r>
      <w:r>
        <w:fldChar w:fldCharType="begin"/>
      </w:r>
      <w:r>
        <w:instrText xml:space="preserve"> PAGEREF _Toc32305 </w:instrText>
      </w:r>
      <w:r>
        <w:fldChar w:fldCharType="separate"/>
      </w:r>
      <w:r>
        <w:t>119</w:t>
      </w:r>
      <w:r>
        <w:fldChar w:fldCharType="end"/>
      </w:r>
      <w:r>
        <w:rPr>
          <w:szCs w:val="32"/>
        </w:rPr>
        <w:fldChar w:fldCharType="end"/>
      </w:r>
    </w:p>
    <w:p w14:paraId="0BDAB58C">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_Toc2252 </w:instrText>
      </w:r>
      <w:r>
        <w:rPr>
          <w:szCs w:val="32"/>
        </w:rPr>
        <w:fldChar w:fldCharType="separate"/>
      </w:r>
      <w:r>
        <w:rPr>
          <w:szCs w:val="28"/>
        </w:rPr>
        <w:t xml:space="preserve">8.4.3 </w:t>
      </w:r>
      <w:r>
        <w:rPr>
          <w:rFonts w:hint="eastAsia"/>
          <w:szCs w:val="28"/>
        </w:rPr>
        <w:t>加强噪声防治、保障区域声环境达标</w:t>
      </w:r>
      <w:r>
        <w:tab/>
      </w:r>
      <w:r>
        <w:fldChar w:fldCharType="begin"/>
      </w:r>
      <w:r>
        <w:instrText xml:space="preserve"> PAGEREF _Toc2252 </w:instrText>
      </w:r>
      <w:r>
        <w:fldChar w:fldCharType="separate"/>
      </w:r>
      <w:r>
        <w:t>120</w:t>
      </w:r>
      <w:r>
        <w:fldChar w:fldCharType="end"/>
      </w:r>
      <w:r>
        <w:rPr>
          <w:szCs w:val="32"/>
        </w:rPr>
        <w:fldChar w:fldCharType="end"/>
      </w:r>
    </w:p>
    <w:p w14:paraId="7DD90561">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_Toc5161 </w:instrText>
      </w:r>
      <w:r>
        <w:rPr>
          <w:szCs w:val="32"/>
        </w:rPr>
        <w:fldChar w:fldCharType="separate"/>
      </w:r>
      <w:r>
        <w:rPr>
          <w:szCs w:val="28"/>
        </w:rPr>
        <w:t xml:space="preserve">8.4.4 </w:t>
      </w:r>
      <w:r>
        <w:rPr>
          <w:rFonts w:hint="eastAsia"/>
          <w:szCs w:val="28"/>
        </w:rPr>
        <w:t>合理处置固体废弃物，助力无废城市建设</w:t>
      </w:r>
      <w:r>
        <w:tab/>
      </w:r>
      <w:r>
        <w:fldChar w:fldCharType="begin"/>
      </w:r>
      <w:r>
        <w:instrText xml:space="preserve"> PAGEREF _Toc5161 </w:instrText>
      </w:r>
      <w:r>
        <w:fldChar w:fldCharType="separate"/>
      </w:r>
      <w:r>
        <w:t>120</w:t>
      </w:r>
      <w:r>
        <w:fldChar w:fldCharType="end"/>
      </w:r>
      <w:r>
        <w:rPr>
          <w:szCs w:val="32"/>
        </w:rPr>
        <w:fldChar w:fldCharType="end"/>
      </w:r>
    </w:p>
    <w:p w14:paraId="6C006087">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_Toc29754 </w:instrText>
      </w:r>
      <w:r>
        <w:rPr>
          <w:szCs w:val="32"/>
        </w:rPr>
        <w:fldChar w:fldCharType="separate"/>
      </w:r>
      <w:r>
        <w:rPr>
          <w:szCs w:val="28"/>
        </w:rPr>
        <w:t xml:space="preserve">8.4.5 </w:t>
      </w:r>
      <w:r>
        <w:rPr>
          <w:rFonts w:hint="eastAsia"/>
          <w:szCs w:val="28"/>
        </w:rPr>
        <w:t>重视生态系统保护措施，确保生态环境稳定</w:t>
      </w:r>
      <w:r>
        <w:tab/>
      </w:r>
      <w:r>
        <w:fldChar w:fldCharType="begin"/>
      </w:r>
      <w:r>
        <w:instrText xml:space="preserve"> PAGEREF _Toc29754 </w:instrText>
      </w:r>
      <w:r>
        <w:fldChar w:fldCharType="separate"/>
      </w:r>
      <w:r>
        <w:t>120</w:t>
      </w:r>
      <w:r>
        <w:fldChar w:fldCharType="end"/>
      </w:r>
      <w:r>
        <w:rPr>
          <w:szCs w:val="32"/>
        </w:rPr>
        <w:fldChar w:fldCharType="end"/>
      </w:r>
    </w:p>
    <w:p w14:paraId="0EC096BA">
      <w:pPr>
        <w:pStyle w:val="1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_Toc637 </w:instrText>
      </w:r>
      <w:r>
        <w:rPr>
          <w:szCs w:val="32"/>
        </w:rPr>
        <w:fldChar w:fldCharType="separate"/>
      </w:r>
      <w:r>
        <w:rPr>
          <w:szCs w:val="28"/>
        </w:rPr>
        <w:t>8.4.6 实施区域联防联控</w:t>
      </w:r>
      <w:r>
        <w:tab/>
      </w:r>
      <w:r>
        <w:fldChar w:fldCharType="begin"/>
      </w:r>
      <w:r>
        <w:instrText xml:space="preserve"> PAGEREF _Toc637 </w:instrText>
      </w:r>
      <w:r>
        <w:fldChar w:fldCharType="separate"/>
      </w:r>
      <w:r>
        <w:t>120</w:t>
      </w:r>
      <w:r>
        <w:fldChar w:fldCharType="end"/>
      </w:r>
      <w:r>
        <w:rPr>
          <w:szCs w:val="32"/>
        </w:rPr>
        <w:fldChar w:fldCharType="end"/>
      </w:r>
    </w:p>
    <w:p w14:paraId="5C21B299">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_Toc28032 </w:instrText>
      </w:r>
      <w:r>
        <w:rPr>
          <w:szCs w:val="32"/>
        </w:rPr>
        <w:fldChar w:fldCharType="separate"/>
      </w:r>
      <w:r>
        <w:rPr>
          <w:rFonts w:hint="default" w:ascii="Times New Roman" w:hAnsi="Times New Roman"/>
          <w:kern w:val="2"/>
          <w:szCs w:val="32"/>
        </w:rPr>
        <w:t xml:space="preserve">8.5 </w:t>
      </w:r>
      <w:r>
        <w:rPr>
          <w:rFonts w:ascii="Times New Roman" w:hAnsi="Times New Roman"/>
          <w:kern w:val="2"/>
          <w:szCs w:val="32"/>
        </w:rPr>
        <w:t>对</w:t>
      </w:r>
      <w:r>
        <w:rPr>
          <w:rFonts w:hint="default" w:ascii="Times New Roman" w:hAnsi="Times New Roman"/>
          <w:kern w:val="2"/>
          <w:szCs w:val="32"/>
        </w:rPr>
        <w:t>规划项目的环境影响评价要求</w:t>
      </w:r>
      <w:r>
        <w:tab/>
      </w:r>
      <w:r>
        <w:fldChar w:fldCharType="begin"/>
      </w:r>
      <w:r>
        <w:instrText xml:space="preserve"> PAGEREF _Toc28032 </w:instrText>
      </w:r>
      <w:r>
        <w:fldChar w:fldCharType="separate"/>
      </w:r>
      <w:r>
        <w:t>121</w:t>
      </w:r>
      <w:r>
        <w:fldChar w:fldCharType="end"/>
      </w:r>
      <w:r>
        <w:rPr>
          <w:szCs w:val="32"/>
        </w:rPr>
        <w:fldChar w:fldCharType="end"/>
      </w:r>
    </w:p>
    <w:p w14:paraId="6D3BE3D9">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_Toc18305 </w:instrText>
      </w:r>
      <w:r>
        <w:rPr>
          <w:szCs w:val="32"/>
        </w:rPr>
        <w:fldChar w:fldCharType="separate"/>
      </w:r>
      <w:r>
        <w:rPr>
          <w:rFonts w:eastAsia="宋体"/>
          <w:bCs/>
          <w:snapToGrid/>
          <w:kern w:val="44"/>
          <w:szCs w:val="44"/>
        </w:rPr>
        <w:t>9 保障措施</w:t>
      </w:r>
      <w:r>
        <w:tab/>
      </w:r>
      <w:r>
        <w:fldChar w:fldCharType="begin"/>
      </w:r>
      <w:r>
        <w:instrText xml:space="preserve"> PAGEREF _Toc18305 </w:instrText>
      </w:r>
      <w:r>
        <w:fldChar w:fldCharType="separate"/>
      </w:r>
      <w:r>
        <w:t>122</w:t>
      </w:r>
      <w:r>
        <w:fldChar w:fldCharType="end"/>
      </w:r>
      <w:r>
        <w:rPr>
          <w:szCs w:val="32"/>
        </w:rPr>
        <w:fldChar w:fldCharType="end"/>
      </w:r>
    </w:p>
    <w:p w14:paraId="297AE34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_Toc4879 </w:instrText>
      </w:r>
      <w:r>
        <w:rPr>
          <w:szCs w:val="32"/>
        </w:rPr>
        <w:fldChar w:fldCharType="separate"/>
      </w:r>
      <w:r>
        <w:rPr>
          <w:rFonts w:hint="default" w:ascii="Times New Roman" w:hAnsi="Times New Roman"/>
          <w:kern w:val="2"/>
          <w:szCs w:val="32"/>
        </w:rPr>
        <w:t>9.1 组织保障</w:t>
      </w:r>
      <w:r>
        <w:tab/>
      </w:r>
      <w:r>
        <w:fldChar w:fldCharType="begin"/>
      </w:r>
      <w:r>
        <w:instrText xml:space="preserve"> PAGEREF _Toc4879 </w:instrText>
      </w:r>
      <w:r>
        <w:fldChar w:fldCharType="separate"/>
      </w:r>
      <w:r>
        <w:t>122</w:t>
      </w:r>
      <w:r>
        <w:fldChar w:fldCharType="end"/>
      </w:r>
      <w:r>
        <w:rPr>
          <w:szCs w:val="32"/>
        </w:rPr>
        <w:fldChar w:fldCharType="end"/>
      </w:r>
    </w:p>
    <w:p w14:paraId="3816EC1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_Toc25510 </w:instrText>
      </w:r>
      <w:r>
        <w:rPr>
          <w:szCs w:val="32"/>
        </w:rPr>
        <w:fldChar w:fldCharType="separate"/>
      </w:r>
      <w:r>
        <w:rPr>
          <w:rFonts w:hint="default" w:ascii="Times New Roman" w:hAnsi="Times New Roman"/>
          <w:kern w:val="2"/>
          <w:szCs w:val="32"/>
        </w:rPr>
        <w:t>9.2 制度保障</w:t>
      </w:r>
      <w:r>
        <w:tab/>
      </w:r>
      <w:r>
        <w:fldChar w:fldCharType="begin"/>
      </w:r>
      <w:r>
        <w:instrText xml:space="preserve"> PAGEREF _Toc25510 </w:instrText>
      </w:r>
      <w:r>
        <w:fldChar w:fldCharType="separate"/>
      </w:r>
      <w:r>
        <w:t>122</w:t>
      </w:r>
      <w:r>
        <w:fldChar w:fldCharType="end"/>
      </w:r>
      <w:r>
        <w:rPr>
          <w:szCs w:val="32"/>
        </w:rPr>
        <w:fldChar w:fldCharType="end"/>
      </w:r>
    </w:p>
    <w:p w14:paraId="4E45DBF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_Toc22602 </w:instrText>
      </w:r>
      <w:r>
        <w:rPr>
          <w:szCs w:val="32"/>
        </w:rPr>
        <w:fldChar w:fldCharType="separate"/>
      </w:r>
      <w:r>
        <w:rPr>
          <w:rFonts w:hint="default" w:ascii="Times New Roman" w:hAnsi="Times New Roman"/>
          <w:kern w:val="2"/>
          <w:szCs w:val="32"/>
        </w:rPr>
        <w:t>9.3 治理保障</w:t>
      </w:r>
      <w:r>
        <w:tab/>
      </w:r>
      <w:r>
        <w:fldChar w:fldCharType="begin"/>
      </w:r>
      <w:r>
        <w:instrText xml:space="preserve"> PAGEREF _Toc22602 </w:instrText>
      </w:r>
      <w:r>
        <w:fldChar w:fldCharType="separate"/>
      </w:r>
      <w:r>
        <w:t>123</w:t>
      </w:r>
      <w:r>
        <w:fldChar w:fldCharType="end"/>
      </w:r>
      <w:r>
        <w:rPr>
          <w:szCs w:val="32"/>
        </w:rPr>
        <w:fldChar w:fldCharType="end"/>
      </w:r>
    </w:p>
    <w:p w14:paraId="077FDB4D">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_Toc1682 </w:instrText>
      </w:r>
      <w:r>
        <w:rPr>
          <w:szCs w:val="32"/>
        </w:rPr>
        <w:fldChar w:fldCharType="separate"/>
      </w:r>
      <w:r>
        <w:rPr>
          <w:rFonts w:hint="default" w:ascii="Times New Roman" w:hAnsi="Times New Roman"/>
          <w:kern w:val="2"/>
          <w:szCs w:val="32"/>
        </w:rPr>
        <w:t>9.4 资金保障</w:t>
      </w:r>
      <w:r>
        <w:tab/>
      </w:r>
      <w:r>
        <w:fldChar w:fldCharType="begin"/>
      </w:r>
      <w:r>
        <w:instrText xml:space="preserve"> PAGEREF _Toc1682 </w:instrText>
      </w:r>
      <w:r>
        <w:fldChar w:fldCharType="separate"/>
      </w:r>
      <w:r>
        <w:t>124</w:t>
      </w:r>
      <w:r>
        <w:fldChar w:fldCharType="end"/>
      </w:r>
      <w:r>
        <w:rPr>
          <w:szCs w:val="32"/>
        </w:rPr>
        <w:fldChar w:fldCharType="end"/>
      </w:r>
    </w:p>
    <w:p w14:paraId="582135A6">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_Toc22733 </w:instrText>
      </w:r>
      <w:r>
        <w:rPr>
          <w:szCs w:val="32"/>
        </w:rPr>
        <w:fldChar w:fldCharType="separate"/>
      </w:r>
      <w:r>
        <w:rPr>
          <w:rFonts w:hint="default" w:ascii="Times New Roman" w:hAnsi="Times New Roman"/>
          <w:kern w:val="2"/>
          <w:szCs w:val="32"/>
        </w:rPr>
        <w:t>9.5 科技保障</w:t>
      </w:r>
      <w:r>
        <w:tab/>
      </w:r>
      <w:r>
        <w:fldChar w:fldCharType="begin"/>
      </w:r>
      <w:r>
        <w:instrText xml:space="preserve"> PAGEREF _Toc22733 </w:instrText>
      </w:r>
      <w:r>
        <w:fldChar w:fldCharType="separate"/>
      </w:r>
      <w:r>
        <w:t>124</w:t>
      </w:r>
      <w:r>
        <w:fldChar w:fldCharType="end"/>
      </w:r>
      <w:r>
        <w:rPr>
          <w:szCs w:val="32"/>
        </w:rPr>
        <w:fldChar w:fldCharType="end"/>
      </w:r>
    </w:p>
    <w:p w14:paraId="17BE1D2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_Toc1495 </w:instrText>
      </w:r>
      <w:r>
        <w:rPr>
          <w:szCs w:val="32"/>
        </w:rPr>
        <w:fldChar w:fldCharType="separate"/>
      </w:r>
      <w:r>
        <w:rPr>
          <w:rFonts w:hint="default" w:ascii="Times New Roman" w:hAnsi="Times New Roman"/>
          <w:kern w:val="2"/>
          <w:szCs w:val="32"/>
        </w:rPr>
        <w:t>9.6 考核监督</w:t>
      </w:r>
      <w:r>
        <w:tab/>
      </w:r>
      <w:r>
        <w:fldChar w:fldCharType="begin"/>
      </w:r>
      <w:r>
        <w:instrText xml:space="preserve"> PAGEREF _Toc1495 </w:instrText>
      </w:r>
      <w:r>
        <w:fldChar w:fldCharType="separate"/>
      </w:r>
      <w:r>
        <w:t>125</w:t>
      </w:r>
      <w:r>
        <w:fldChar w:fldCharType="end"/>
      </w:r>
      <w:r>
        <w:rPr>
          <w:szCs w:val="32"/>
        </w:rPr>
        <w:fldChar w:fldCharType="end"/>
      </w:r>
    </w:p>
    <w:p w14:paraId="1596D67A">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_Toc8891 </w:instrText>
      </w:r>
      <w:r>
        <w:rPr>
          <w:szCs w:val="32"/>
        </w:rPr>
        <w:fldChar w:fldCharType="separate"/>
      </w:r>
      <w:r>
        <w:rPr>
          <w:rFonts w:hint="default" w:ascii="Times New Roman" w:hAnsi="Times New Roman"/>
          <w:kern w:val="2"/>
          <w:szCs w:val="32"/>
        </w:rPr>
        <w:t>9.7 宣传保障</w:t>
      </w:r>
      <w:r>
        <w:tab/>
      </w:r>
      <w:r>
        <w:fldChar w:fldCharType="begin"/>
      </w:r>
      <w:r>
        <w:instrText xml:space="preserve"> PAGEREF _Toc8891 </w:instrText>
      </w:r>
      <w:r>
        <w:fldChar w:fldCharType="separate"/>
      </w:r>
      <w:r>
        <w:t>125</w:t>
      </w:r>
      <w:r>
        <w:fldChar w:fldCharType="end"/>
      </w:r>
      <w:r>
        <w:rPr>
          <w:szCs w:val="32"/>
        </w:rPr>
        <w:fldChar w:fldCharType="end"/>
      </w:r>
    </w:p>
    <w:p w14:paraId="1B3FAF23">
      <w:pPr>
        <w:pStyle w:val="17"/>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_Toc29306 </w:instrText>
      </w:r>
      <w:r>
        <w:rPr>
          <w:szCs w:val="32"/>
        </w:rPr>
        <w:fldChar w:fldCharType="separate"/>
      </w:r>
      <w:r>
        <w:rPr>
          <w:rFonts w:eastAsia="宋体"/>
          <w:bCs/>
          <w:snapToGrid/>
          <w:kern w:val="44"/>
          <w:szCs w:val="44"/>
        </w:rPr>
        <w:t xml:space="preserve">10 </w:t>
      </w:r>
      <w:r>
        <w:rPr>
          <w:rFonts w:hint="eastAsia" w:eastAsia="宋体"/>
          <w:bCs/>
          <w:snapToGrid/>
          <w:kern w:val="44"/>
          <w:szCs w:val="44"/>
        </w:rPr>
        <w:t>效益</w:t>
      </w:r>
      <w:r>
        <w:rPr>
          <w:rFonts w:eastAsia="宋体"/>
          <w:bCs/>
          <w:snapToGrid/>
          <w:kern w:val="44"/>
          <w:szCs w:val="44"/>
        </w:rPr>
        <w:t>分析</w:t>
      </w:r>
      <w:r>
        <w:tab/>
      </w:r>
      <w:r>
        <w:fldChar w:fldCharType="begin"/>
      </w:r>
      <w:r>
        <w:instrText xml:space="preserve"> PAGEREF _Toc29306 </w:instrText>
      </w:r>
      <w:r>
        <w:fldChar w:fldCharType="separate"/>
      </w:r>
      <w:r>
        <w:t>127</w:t>
      </w:r>
      <w:r>
        <w:fldChar w:fldCharType="end"/>
      </w:r>
      <w:r>
        <w:rPr>
          <w:szCs w:val="32"/>
        </w:rPr>
        <w:fldChar w:fldCharType="end"/>
      </w:r>
    </w:p>
    <w:p w14:paraId="4F22FB93">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_Toc6318 </w:instrText>
      </w:r>
      <w:r>
        <w:rPr>
          <w:szCs w:val="32"/>
        </w:rPr>
        <w:fldChar w:fldCharType="separate"/>
      </w:r>
      <w:r>
        <w:rPr>
          <w:rFonts w:hint="default" w:ascii="Times New Roman"/>
          <w:kern w:val="2"/>
          <w:szCs w:val="32"/>
        </w:rPr>
        <w:t>10.1 生态效益</w:t>
      </w:r>
      <w:r>
        <w:tab/>
      </w:r>
      <w:r>
        <w:fldChar w:fldCharType="begin"/>
      </w:r>
      <w:r>
        <w:instrText xml:space="preserve"> PAGEREF _Toc6318 </w:instrText>
      </w:r>
      <w:r>
        <w:fldChar w:fldCharType="separate"/>
      </w:r>
      <w:r>
        <w:t>127</w:t>
      </w:r>
      <w:r>
        <w:fldChar w:fldCharType="end"/>
      </w:r>
      <w:r>
        <w:rPr>
          <w:szCs w:val="32"/>
        </w:rPr>
        <w:fldChar w:fldCharType="end"/>
      </w:r>
    </w:p>
    <w:p w14:paraId="7788C3C8">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_Toc2991 </w:instrText>
      </w:r>
      <w:r>
        <w:rPr>
          <w:szCs w:val="32"/>
        </w:rPr>
        <w:fldChar w:fldCharType="separate"/>
      </w:r>
      <w:r>
        <w:rPr>
          <w:rFonts w:hint="default" w:ascii="Times New Roman"/>
          <w:kern w:val="2"/>
          <w:szCs w:val="32"/>
        </w:rPr>
        <w:t>10.2 社会效益</w:t>
      </w:r>
      <w:r>
        <w:tab/>
      </w:r>
      <w:r>
        <w:fldChar w:fldCharType="begin"/>
      </w:r>
      <w:r>
        <w:instrText xml:space="preserve"> PAGEREF _Toc2991 </w:instrText>
      </w:r>
      <w:r>
        <w:fldChar w:fldCharType="separate"/>
      </w:r>
      <w:r>
        <w:t>129</w:t>
      </w:r>
      <w:r>
        <w:fldChar w:fldCharType="end"/>
      </w:r>
      <w:r>
        <w:rPr>
          <w:szCs w:val="32"/>
        </w:rPr>
        <w:fldChar w:fldCharType="end"/>
      </w:r>
    </w:p>
    <w:p w14:paraId="16713347">
      <w:pPr>
        <w:pStyle w:val="20"/>
        <w:keepNext w:val="0"/>
        <w:keepLines w:val="0"/>
        <w:pageBreakBefore w:val="0"/>
        <w:widowControl w:val="0"/>
        <w:tabs>
          <w:tab w:val="right" w:leader="dot" w:pos="8951"/>
        </w:tabs>
        <w:kinsoku/>
        <w:wordWrap/>
        <w:overflowPunct/>
        <w:topLinePunct w:val="0"/>
        <w:autoSpaceDE/>
        <w:autoSpaceDN/>
        <w:bidi w:val="0"/>
        <w:adjustRightInd/>
        <w:snapToGrid/>
        <w:spacing w:line="360" w:lineRule="auto"/>
        <w:textAlignment w:val="auto"/>
      </w:pPr>
      <w:r>
        <w:rPr>
          <w:szCs w:val="32"/>
        </w:rPr>
        <w:fldChar w:fldCharType="begin"/>
      </w:r>
      <w:r>
        <w:rPr>
          <w:szCs w:val="32"/>
        </w:rPr>
        <w:instrText xml:space="preserve"> HYPERLINK \l _Toc20483 </w:instrText>
      </w:r>
      <w:r>
        <w:rPr>
          <w:szCs w:val="32"/>
        </w:rPr>
        <w:fldChar w:fldCharType="separate"/>
      </w:r>
      <w:r>
        <w:rPr>
          <w:rFonts w:hint="default" w:ascii="Times New Roman" w:hAnsi="Times New Roman"/>
          <w:kern w:val="2"/>
          <w:szCs w:val="32"/>
        </w:rPr>
        <w:t xml:space="preserve">10.3 </w:t>
      </w:r>
      <w:r>
        <w:rPr>
          <w:rFonts w:hint="default" w:ascii="Times New Roman"/>
          <w:kern w:val="2"/>
          <w:szCs w:val="32"/>
        </w:rPr>
        <w:t>经济效益</w:t>
      </w:r>
      <w:r>
        <w:tab/>
      </w:r>
      <w:r>
        <w:fldChar w:fldCharType="begin"/>
      </w:r>
      <w:r>
        <w:instrText xml:space="preserve"> PAGEREF _Toc20483 </w:instrText>
      </w:r>
      <w:r>
        <w:fldChar w:fldCharType="separate"/>
      </w:r>
      <w:r>
        <w:t>131</w:t>
      </w:r>
      <w:r>
        <w:fldChar w:fldCharType="end"/>
      </w:r>
      <w:r>
        <w:rPr>
          <w:szCs w:val="32"/>
        </w:rPr>
        <w:fldChar w:fldCharType="end"/>
      </w:r>
    </w:p>
    <w:p w14:paraId="080076FB">
      <w:pPr>
        <w:jc w:val="left"/>
        <w:rPr>
          <w:rFonts w:ascii="Times New Roman" w:hAnsi="Times New Roman" w:cs="Times New Roman"/>
          <w:b/>
          <w:sz w:val="24"/>
          <w:szCs w:val="24"/>
        </w:rPr>
      </w:pPr>
      <w:r>
        <w:rPr>
          <w:szCs w:val="32"/>
        </w:rPr>
        <w:fldChar w:fldCharType="end"/>
      </w:r>
      <w:r>
        <w:rPr>
          <w:rFonts w:ascii="Times New Roman" w:cs="Times New Roman"/>
          <w:b/>
          <w:sz w:val="24"/>
          <w:szCs w:val="24"/>
        </w:rPr>
        <w:t>附表：</w:t>
      </w:r>
    </w:p>
    <w:p w14:paraId="7AE511F4">
      <w:pPr>
        <w:spacing w:line="360" w:lineRule="auto"/>
        <w:rPr>
          <w:rFonts w:ascii="Times New Roman" w:cs="Times New Roman"/>
          <w:sz w:val="24"/>
          <w:szCs w:val="24"/>
        </w:rPr>
      </w:pPr>
      <w:r>
        <w:rPr>
          <w:rFonts w:hint="eastAsia" w:ascii="Times New Roman" w:cs="Times New Roman"/>
          <w:sz w:val="24"/>
          <w:szCs w:val="24"/>
        </w:rPr>
        <w:t>附表1重点建设项目安排表</w:t>
      </w:r>
    </w:p>
    <w:p w14:paraId="3BD4FC4E">
      <w:pPr>
        <w:spacing w:line="360" w:lineRule="auto"/>
        <w:rPr>
          <w:rFonts w:ascii="Times New Roman" w:cs="Times New Roman"/>
          <w:sz w:val="24"/>
          <w:szCs w:val="24"/>
        </w:rPr>
      </w:pPr>
      <w:r>
        <w:rPr>
          <w:rFonts w:hint="eastAsia" w:ascii="Times New Roman" w:cs="Times New Roman"/>
          <w:sz w:val="24"/>
          <w:szCs w:val="24"/>
        </w:rPr>
        <w:t>附表2昌都市草原生态保护修复与草业发展规划投资估算与时间安排表</w:t>
      </w:r>
    </w:p>
    <w:p w14:paraId="52D32108">
      <w:pPr>
        <w:spacing w:line="360" w:lineRule="auto"/>
        <w:rPr>
          <w:rFonts w:ascii="Times New Roman" w:hAnsi="Times New Roman" w:cs="Times New Roman"/>
          <w:b/>
          <w:sz w:val="24"/>
          <w:szCs w:val="24"/>
        </w:rPr>
      </w:pPr>
      <w:r>
        <w:rPr>
          <w:rFonts w:ascii="Times New Roman" w:cs="Times New Roman"/>
          <w:b/>
          <w:sz w:val="24"/>
          <w:szCs w:val="24"/>
        </w:rPr>
        <w:t>附图：</w:t>
      </w:r>
    </w:p>
    <w:p w14:paraId="788E5008">
      <w:pPr>
        <w:spacing w:line="360" w:lineRule="auto"/>
        <w:rPr>
          <w:rFonts w:ascii="Times New Roman" w:hAnsi="Times New Roman" w:cs="Times New Roman"/>
          <w:sz w:val="24"/>
          <w:szCs w:val="24"/>
        </w:rPr>
      </w:pPr>
      <w:r>
        <w:rPr>
          <w:rFonts w:ascii="Times New Roman" w:hAnsi="Times New Roman" w:cs="Times New Roman"/>
          <w:sz w:val="24"/>
          <w:szCs w:val="24"/>
        </w:rPr>
        <w:t>附图1地理区位图</w:t>
      </w:r>
    </w:p>
    <w:p w14:paraId="4EE13CF1">
      <w:pPr>
        <w:spacing w:line="360" w:lineRule="auto"/>
        <w:rPr>
          <w:rFonts w:ascii="Times New Roman" w:hAnsi="Times New Roman" w:cs="Times New Roman"/>
          <w:sz w:val="24"/>
          <w:szCs w:val="24"/>
        </w:rPr>
      </w:pPr>
      <w:r>
        <w:rPr>
          <w:rFonts w:ascii="Times New Roman" w:hAnsi="Times New Roman" w:cs="Times New Roman"/>
          <w:sz w:val="24"/>
          <w:szCs w:val="24"/>
        </w:rPr>
        <w:t>附图2水系分布图</w:t>
      </w:r>
    </w:p>
    <w:p w14:paraId="25B633C9">
      <w:pPr>
        <w:spacing w:line="360" w:lineRule="auto"/>
        <w:rPr>
          <w:rFonts w:ascii="Times New Roman" w:hAnsi="Times New Roman" w:cs="Times New Roman"/>
          <w:sz w:val="24"/>
          <w:szCs w:val="24"/>
        </w:rPr>
      </w:pPr>
      <w:r>
        <w:rPr>
          <w:rFonts w:ascii="Times New Roman" w:hAnsi="Times New Roman" w:cs="Times New Roman"/>
          <w:sz w:val="24"/>
          <w:szCs w:val="24"/>
        </w:rPr>
        <w:t>附图3昌都市交通分布图</w:t>
      </w:r>
    </w:p>
    <w:p w14:paraId="40D9EB28">
      <w:pPr>
        <w:spacing w:line="360" w:lineRule="auto"/>
        <w:rPr>
          <w:rFonts w:ascii="Times New Roman" w:hAnsi="Times New Roman" w:cs="Times New Roman"/>
          <w:sz w:val="24"/>
          <w:szCs w:val="24"/>
        </w:rPr>
      </w:pPr>
      <w:r>
        <w:rPr>
          <w:rFonts w:ascii="Times New Roman" w:hAnsi="Times New Roman" w:cs="Times New Roman"/>
          <w:sz w:val="24"/>
          <w:szCs w:val="24"/>
        </w:rPr>
        <w:t>附图4土地利用现状图</w:t>
      </w:r>
    </w:p>
    <w:p w14:paraId="6F69F489">
      <w:pPr>
        <w:spacing w:line="360" w:lineRule="auto"/>
        <w:rPr>
          <w:rFonts w:ascii="Times New Roman" w:hAnsi="Times New Roman" w:cs="Times New Roman"/>
          <w:sz w:val="24"/>
          <w:szCs w:val="24"/>
        </w:rPr>
      </w:pPr>
      <w:r>
        <w:rPr>
          <w:rFonts w:ascii="Times New Roman" w:hAnsi="Times New Roman" w:cs="Times New Roman"/>
          <w:sz w:val="24"/>
          <w:szCs w:val="24"/>
        </w:rPr>
        <w:t>附图5草原资源空间分布图</w:t>
      </w:r>
    </w:p>
    <w:p w14:paraId="63923F1A">
      <w:pPr>
        <w:spacing w:line="360" w:lineRule="auto"/>
        <w:rPr>
          <w:rFonts w:ascii="Times New Roman" w:hAnsi="Times New Roman" w:cs="Times New Roman"/>
          <w:sz w:val="24"/>
          <w:szCs w:val="24"/>
        </w:rPr>
      </w:pPr>
      <w:r>
        <w:rPr>
          <w:rFonts w:ascii="Times New Roman" w:hAnsi="Times New Roman" w:cs="Times New Roman"/>
          <w:sz w:val="24"/>
          <w:szCs w:val="24"/>
        </w:rPr>
        <w:t>附图6草原类分区布局图</w:t>
      </w:r>
    </w:p>
    <w:p w14:paraId="61AA77BF">
      <w:pPr>
        <w:spacing w:line="360" w:lineRule="auto"/>
        <w:rPr>
          <w:rFonts w:ascii="Times New Roman" w:hAnsi="Times New Roman" w:cs="Times New Roman"/>
          <w:sz w:val="24"/>
          <w:szCs w:val="24"/>
        </w:rPr>
      </w:pPr>
      <w:r>
        <w:rPr>
          <w:rFonts w:ascii="Times New Roman" w:hAnsi="Times New Roman" w:cs="Times New Roman"/>
          <w:sz w:val="24"/>
          <w:szCs w:val="24"/>
        </w:rPr>
        <w:t>附图7草原型分区布局图</w:t>
      </w:r>
    </w:p>
    <w:p w14:paraId="4FD92327">
      <w:pPr>
        <w:spacing w:line="360" w:lineRule="auto"/>
        <w:rPr>
          <w:rFonts w:ascii="Times New Roman" w:hAnsi="Times New Roman" w:cs="Times New Roman"/>
          <w:sz w:val="24"/>
          <w:szCs w:val="24"/>
        </w:rPr>
      </w:pPr>
      <w:r>
        <w:rPr>
          <w:rFonts w:ascii="Times New Roman" w:hAnsi="Times New Roman" w:cs="Times New Roman"/>
          <w:sz w:val="24"/>
          <w:szCs w:val="24"/>
        </w:rPr>
        <w:t>附图8草原权属分区布局图</w:t>
      </w:r>
    </w:p>
    <w:p w14:paraId="3B370D78">
      <w:pPr>
        <w:spacing w:line="360" w:lineRule="auto"/>
        <w:rPr>
          <w:rFonts w:ascii="Times New Roman" w:hAnsi="Times New Roman" w:cs="Times New Roman"/>
          <w:sz w:val="24"/>
          <w:szCs w:val="24"/>
        </w:rPr>
      </w:pPr>
      <w:r>
        <w:rPr>
          <w:rFonts w:ascii="Times New Roman" w:hAnsi="Times New Roman" w:cs="Times New Roman"/>
          <w:sz w:val="24"/>
          <w:szCs w:val="24"/>
        </w:rPr>
        <w:t>附图9草原健康等级分布图</w:t>
      </w:r>
    </w:p>
    <w:p w14:paraId="28F0870D">
      <w:pPr>
        <w:spacing w:line="360" w:lineRule="auto"/>
        <w:rPr>
          <w:rFonts w:ascii="Times New Roman" w:hAnsi="Times New Roman" w:cs="Times New Roman"/>
          <w:sz w:val="24"/>
          <w:szCs w:val="24"/>
        </w:rPr>
      </w:pPr>
      <w:r>
        <w:rPr>
          <w:rFonts w:ascii="Times New Roman" w:hAnsi="Times New Roman" w:cs="Times New Roman"/>
          <w:sz w:val="24"/>
          <w:szCs w:val="24"/>
        </w:rPr>
        <w:t>附图10草原退化等级分布图</w:t>
      </w:r>
    </w:p>
    <w:p w14:paraId="684D9CD2">
      <w:pPr>
        <w:spacing w:line="360" w:lineRule="auto"/>
        <w:rPr>
          <w:rFonts w:ascii="Times New Roman" w:hAnsi="Times New Roman" w:cs="Times New Roman"/>
          <w:sz w:val="24"/>
          <w:szCs w:val="24"/>
        </w:rPr>
      </w:pPr>
      <w:r>
        <w:rPr>
          <w:rFonts w:ascii="Times New Roman" w:hAnsi="Times New Roman" w:cs="Times New Roman"/>
          <w:sz w:val="24"/>
          <w:szCs w:val="24"/>
        </w:rPr>
        <w:t>附图11草原退化类型分布图</w:t>
      </w:r>
    </w:p>
    <w:p w14:paraId="7442BB6C">
      <w:pPr>
        <w:spacing w:line="360" w:lineRule="auto"/>
        <w:rPr>
          <w:rFonts w:ascii="Times New Roman" w:hAnsi="Times New Roman" w:cs="Times New Roman"/>
          <w:sz w:val="24"/>
          <w:szCs w:val="24"/>
        </w:rPr>
      </w:pPr>
      <w:r>
        <w:rPr>
          <w:rFonts w:ascii="Times New Roman" w:hAnsi="Times New Roman" w:cs="Times New Roman"/>
          <w:sz w:val="24"/>
          <w:szCs w:val="24"/>
        </w:rPr>
        <w:t>附图12基本草原分布图</w:t>
      </w:r>
    </w:p>
    <w:p w14:paraId="656DBB58">
      <w:pPr>
        <w:spacing w:line="360" w:lineRule="auto"/>
        <w:rPr>
          <w:rFonts w:ascii="Times New Roman" w:hAnsi="Times New Roman" w:cs="Times New Roman"/>
          <w:sz w:val="24"/>
          <w:szCs w:val="24"/>
        </w:rPr>
      </w:pPr>
      <w:r>
        <w:rPr>
          <w:rFonts w:ascii="Times New Roman" w:hAnsi="Times New Roman" w:cs="Times New Roman"/>
          <w:sz w:val="24"/>
          <w:szCs w:val="24"/>
        </w:rPr>
        <w:t>附图13生态红线分布图</w:t>
      </w:r>
    </w:p>
    <w:p w14:paraId="344AA8D4">
      <w:pPr>
        <w:spacing w:line="360" w:lineRule="auto"/>
        <w:rPr>
          <w:rFonts w:ascii="Times New Roman" w:hAnsi="Times New Roman" w:cs="Times New Roman"/>
          <w:color w:val="0000FF"/>
          <w:sz w:val="24"/>
          <w:szCs w:val="24"/>
        </w:rPr>
      </w:pPr>
      <w:r>
        <w:rPr>
          <w:rFonts w:ascii="Times New Roman" w:hAnsi="Times New Roman" w:cs="Times New Roman"/>
          <w:color w:val="0000FF"/>
          <w:sz w:val="24"/>
          <w:szCs w:val="24"/>
        </w:rPr>
        <w:t>附图14自然保护地分布图</w:t>
      </w:r>
    </w:p>
    <w:p w14:paraId="58FF35D5">
      <w:pPr>
        <w:spacing w:line="360" w:lineRule="auto"/>
        <w:rPr>
          <w:rFonts w:ascii="Times New Roman" w:hAnsi="Times New Roman" w:cs="Times New Roman"/>
          <w:sz w:val="24"/>
          <w:szCs w:val="24"/>
        </w:rPr>
      </w:pPr>
      <w:r>
        <w:rPr>
          <w:rFonts w:ascii="Times New Roman" w:hAnsi="Times New Roman" w:cs="Times New Roman"/>
          <w:sz w:val="24"/>
          <w:szCs w:val="24"/>
        </w:rPr>
        <w:t>附图15</w:t>
      </w:r>
      <w:r>
        <w:rPr>
          <w:rFonts w:hint="eastAsia" w:ascii="Times New Roman" w:hAnsi="Times New Roman" w:cs="Times New Roman"/>
          <w:sz w:val="24"/>
          <w:szCs w:val="24"/>
        </w:rPr>
        <w:t>-1</w:t>
      </w:r>
      <w:r>
        <w:rPr>
          <w:rFonts w:ascii="Times New Roman" w:hAnsi="Times New Roman" w:cs="Times New Roman"/>
          <w:sz w:val="24"/>
          <w:szCs w:val="24"/>
        </w:rPr>
        <w:t>总体布局图</w:t>
      </w:r>
    </w:p>
    <w:p w14:paraId="189F7269">
      <w:pPr>
        <w:spacing w:line="360" w:lineRule="auto"/>
        <w:rPr>
          <w:rFonts w:ascii="Times New Roman" w:hAnsi="Times New Roman" w:cs="Times New Roman"/>
          <w:color w:val="0000FF"/>
          <w:sz w:val="24"/>
          <w:szCs w:val="24"/>
        </w:rPr>
      </w:pPr>
      <w:r>
        <w:rPr>
          <w:rFonts w:hint="eastAsia" w:ascii="Times New Roman" w:hAnsi="Times New Roman" w:cs="Times New Roman"/>
          <w:color w:val="0000FF"/>
          <w:sz w:val="24"/>
          <w:szCs w:val="24"/>
        </w:rPr>
        <w:t>附图15-2 总体布局图（叠加生态保护红线和自然保护地）</w:t>
      </w:r>
    </w:p>
    <w:p w14:paraId="2AD88067">
      <w:pPr>
        <w:spacing w:line="360" w:lineRule="auto"/>
        <w:rPr>
          <w:rFonts w:ascii="Times New Roman" w:hAnsi="Times New Roman" w:cs="Times New Roman"/>
          <w:sz w:val="24"/>
          <w:szCs w:val="24"/>
        </w:rPr>
      </w:pPr>
      <w:r>
        <w:rPr>
          <w:rFonts w:ascii="Times New Roman" w:hAnsi="Times New Roman" w:cs="Times New Roman"/>
          <w:sz w:val="24"/>
          <w:szCs w:val="24"/>
        </w:rPr>
        <w:t>附图</w:t>
      </w:r>
      <w:r>
        <w:rPr>
          <w:rFonts w:hint="eastAsia" w:ascii="Times New Roman" w:hAnsi="Times New Roman" w:cs="Times New Roman"/>
          <w:sz w:val="24"/>
          <w:szCs w:val="24"/>
        </w:rPr>
        <w:t>16 退化草原修复重点区域图</w:t>
      </w:r>
    </w:p>
    <w:p w14:paraId="6118D1E5">
      <w:pPr>
        <w:spacing w:line="360" w:lineRule="auto"/>
        <w:rPr>
          <w:rFonts w:ascii="Times New Roman" w:hAnsi="Times New Roman" w:cs="Times New Roman"/>
          <w:b/>
          <w:sz w:val="24"/>
          <w:szCs w:val="24"/>
        </w:rPr>
      </w:pPr>
      <w:r>
        <w:rPr>
          <w:rFonts w:hint="eastAsia" w:ascii="Times New Roman" w:hAnsi="Times New Roman" w:cs="Times New Roman"/>
          <w:b/>
          <w:sz w:val="24"/>
          <w:szCs w:val="24"/>
        </w:rPr>
        <w:t>附件：</w:t>
      </w:r>
    </w:p>
    <w:p w14:paraId="76E14D82">
      <w:pPr>
        <w:spacing w:line="360" w:lineRule="auto"/>
        <w:rPr>
          <w:rFonts w:hint="eastAsia" w:ascii="Times New Roman" w:hAnsi="Times New Roman" w:cs="Times New Roman"/>
          <w:color w:val="1901FB"/>
          <w:sz w:val="24"/>
          <w:szCs w:val="24"/>
          <w:highlight w:val="none"/>
        </w:rPr>
      </w:pPr>
      <w:r>
        <w:rPr>
          <w:rFonts w:hint="eastAsia" w:ascii="Times New Roman" w:hAnsi="Times New Roman" w:cs="Times New Roman"/>
          <w:color w:val="1901FB"/>
          <w:sz w:val="24"/>
          <w:szCs w:val="24"/>
          <w:highlight w:val="none"/>
        </w:rPr>
        <w:t>附件1 《昌都市草原生态保护修复和草业发展规划（2026-2035年）》审查意见；</w:t>
      </w:r>
    </w:p>
    <w:p w14:paraId="50962B9D">
      <w:pPr>
        <w:spacing w:line="360" w:lineRule="auto"/>
        <w:ind w:left="720" w:hanging="720" w:hangingChars="300"/>
        <w:rPr>
          <w:rFonts w:hint="eastAsia" w:ascii="Times New Roman" w:hAnsi="Times New Roman" w:cs="Times New Roman"/>
          <w:color w:val="1901FB"/>
          <w:sz w:val="24"/>
          <w:szCs w:val="24"/>
          <w:highlight w:val="none"/>
        </w:rPr>
      </w:pPr>
      <w:r>
        <w:rPr>
          <w:rFonts w:hint="eastAsia" w:ascii="Times New Roman" w:hAnsi="Times New Roman" w:cs="Times New Roman"/>
          <w:color w:val="1901FB"/>
          <w:sz w:val="24"/>
          <w:szCs w:val="24"/>
          <w:highlight w:val="none"/>
        </w:rPr>
        <w:t>附件2 《昌都市草原生态保护修复和草业发展规划（2026-2035年）》评审会签到表；</w:t>
      </w:r>
    </w:p>
    <w:p w14:paraId="7AD86EC0">
      <w:pPr>
        <w:spacing w:line="360" w:lineRule="auto"/>
        <w:rPr>
          <w:rFonts w:hint="eastAsia" w:ascii="Times New Roman" w:hAnsi="Times New Roman" w:cs="Times New Roman"/>
          <w:color w:val="1901FB"/>
          <w:sz w:val="24"/>
          <w:szCs w:val="24"/>
          <w:highlight w:val="none"/>
        </w:rPr>
      </w:pPr>
      <w:r>
        <w:rPr>
          <w:rFonts w:hint="eastAsia" w:ascii="Times New Roman" w:hAnsi="Times New Roman" w:cs="Times New Roman"/>
          <w:color w:val="1901FB"/>
          <w:sz w:val="24"/>
          <w:szCs w:val="24"/>
          <w:highlight w:val="none"/>
          <w:lang w:val="en-US" w:eastAsia="zh-CN"/>
        </w:rPr>
        <w:t>附件3 专家意见及修改清单</w:t>
      </w:r>
    </w:p>
    <w:p w14:paraId="45A3566D">
      <w:pPr>
        <w:spacing w:line="360" w:lineRule="auto"/>
        <w:rPr>
          <w:rFonts w:hint="eastAsia" w:ascii="Times New Roman" w:hAnsi="Times New Roman" w:cs="Times New Roman"/>
          <w:sz w:val="24"/>
          <w:szCs w:val="24"/>
          <w:highlight w:val="yellow"/>
        </w:rPr>
      </w:pPr>
    </w:p>
    <w:p w14:paraId="0891EC95">
      <w:pPr>
        <w:spacing w:line="360" w:lineRule="auto"/>
        <w:rPr>
          <w:rFonts w:hint="eastAsia" w:ascii="Times New Roman" w:hAnsi="Times New Roman" w:cs="Times New Roman"/>
          <w:sz w:val="24"/>
          <w:szCs w:val="24"/>
          <w:highlight w:val="yellow"/>
        </w:rPr>
        <w:sectPr>
          <w:footerReference r:id="rId6" w:type="default"/>
          <w:pgSz w:w="11906" w:h="16838"/>
          <w:pgMar w:top="1459" w:right="1268" w:bottom="1222" w:left="1687" w:header="1092" w:footer="1059" w:gutter="0"/>
          <w:pgNumType w:fmt="upperRoman" w:start="1"/>
          <w:cols w:space="720" w:num="1"/>
        </w:sectPr>
      </w:pPr>
    </w:p>
    <w:p w14:paraId="48B87F92">
      <w:pPr>
        <w:pStyle w:val="2"/>
        <w:numPr>
          <w:ilvl w:val="0"/>
          <w:numId w:val="2"/>
        </w:numPr>
        <w:spacing w:before="156" w:after="156" w:line="360" w:lineRule="auto"/>
        <w:rPr>
          <w:rFonts w:eastAsia="宋体"/>
          <w:bCs/>
          <w:snapToGrid/>
          <w:kern w:val="44"/>
          <w:szCs w:val="44"/>
        </w:rPr>
      </w:pPr>
      <w:bookmarkStart w:id="0" w:name="_Toc15771"/>
      <w:r>
        <w:rPr>
          <w:rFonts w:hint="eastAsia" w:eastAsia="宋体"/>
          <w:bCs/>
          <w:snapToGrid/>
          <w:kern w:val="44"/>
          <w:szCs w:val="44"/>
        </w:rPr>
        <w:t>规划背景及必要性</w:t>
      </w:r>
      <w:bookmarkEnd w:id="0"/>
    </w:p>
    <w:p w14:paraId="28AFDEF2">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1" w:name="_Toc18637"/>
      <w:r>
        <w:rPr>
          <w:rStyle w:val="28"/>
          <w:rFonts w:ascii="Times New Roman" w:hAnsi="Times New Roman"/>
          <w:bCs/>
          <w:color w:val="auto"/>
          <w:kern w:val="2"/>
          <w:sz w:val="32"/>
          <w:szCs w:val="32"/>
          <w:u w:val="none"/>
        </w:rPr>
        <w:t>规划背景</w:t>
      </w:r>
      <w:bookmarkEnd w:id="1"/>
    </w:p>
    <w:p w14:paraId="33F5B5D5">
      <w:pPr>
        <w:pStyle w:val="4"/>
        <w:numPr>
          <w:ilvl w:val="2"/>
          <w:numId w:val="2"/>
        </w:numPr>
        <w:spacing w:before="120" w:after="120" w:line="360" w:lineRule="auto"/>
        <w:rPr>
          <w:rStyle w:val="28"/>
          <w:color w:val="auto"/>
          <w:sz w:val="28"/>
          <w:szCs w:val="28"/>
          <w:u w:val="none"/>
        </w:rPr>
      </w:pPr>
      <w:bookmarkStart w:id="2" w:name="_Toc12866"/>
      <w:r>
        <w:rPr>
          <w:rStyle w:val="28"/>
          <w:rFonts w:hint="eastAsia"/>
          <w:color w:val="auto"/>
          <w:sz w:val="28"/>
          <w:szCs w:val="28"/>
          <w:u w:val="none"/>
        </w:rPr>
        <w:t>国家层面</w:t>
      </w:r>
      <w:bookmarkEnd w:id="2"/>
    </w:p>
    <w:p w14:paraId="489BA3E8">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新时期生态文明建设对草原工作的新要求</w:t>
      </w:r>
    </w:p>
    <w:p w14:paraId="4D088470">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习近平总书记提出，生态文明建设是关系中华民族永续发展的根本大计。要统筹山水林田湖草系统治理，建设美丽中国，为人民创造良好生产生活环境，为全球生态安全作出贡献。草原是我国面积最大的陆地生态系统和十分重要的自然资源，具有防风固沙、涵养水源、保持水土、吸尘降霾、固碳释氧、调节气候、美化环境、运动休闲、健康养生、维护生物多样性等重要生态功能，在维护国家生态安全、边疆稳定、民族团结和促进经济社会可持续发展、农牧民增收等方面具有基础性、战略性作用。</w:t>
      </w:r>
    </w:p>
    <w:p w14:paraId="37E3586E">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2018年初的政府机构改革以来，草原功能从以畜牧业生产饲料为主转为经济功能和生态功能并重。2021年3月国务院办公厅印发《关于加强草原保护修复的若干意见》（国办发〔2021〕7号），提出要坚持绿水青山就是金山银山、山水林田湖草是一个生命共同体，按照节约优先、保护优先、自然恢复为主的方针，以完善草原保护修复制度、推进草原治理体系和治理能力现代化为主线，加强草原保护管理，推进草原生态修复，促进草原合理利用，改善草原生态状况，推动草原地区绿色发展，为建设生态文明和美丽中国奠定重要基础，为新时期草原工作指明了方向。</w:t>
      </w:r>
    </w:p>
    <w:p w14:paraId="749192E2">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党的二十大报告论述“推动绿色发展，促进人与自然和谐共生”时强调提升生态系统多样性、稳定性、持续性，亦提出推行草原森林河流湖泊湿地休养生息，首次将草原放在首位，强调草原保护修复对全国生态安全的重要性。</w:t>
      </w:r>
    </w:p>
    <w:p w14:paraId="62BD4FC6">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为解决青藏高原生态保护特殊问题，进一步加强对青藏高原的保护，国家于2023 年4 月颁发了《中华人民共和国青藏高原生态保护法》，该法律对草原工作提出了具体的要求：要加大青藏高原草原的保护力度，科学开展生态修复治理，巩固提升重点生态功能区的生态功能，统筹协调草原生态保护和畜牧业发展，调整产业结构，优化生产力布局，科学发展区域特色生态产业。</w:t>
      </w:r>
    </w:p>
    <w:p w14:paraId="197722EB">
      <w:pPr>
        <w:widowControl/>
        <w:shd w:val="clear" w:color="auto" w:fill="FFFFFF"/>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党的二十届四中全会通过的《中共中央关于制定国民经济和社会发展第十五个五年规划的建议》中的“十五五”时期经济社会发展的主要目标提出：“美丽中国建设取得新的重大进展。绿色生产生活方式基本形成，碳达峰目标如期实现，清洁低碳安全高效的新型能源体系初步建成，主要污染物排放总量持续减少，生态系统多样性稳定性持续性不断提升”；“国家安全屏障更加巩固。国家安全体系和能力进一步加强，重点领域风险得到有效防范化解，社会治理和公共安全治理水平明显提高，建军一百年奋斗目标如期实现，更高水平平安中国建设扎实推进”。此外，在建议中还提出：“加快农业农村现代化，扎实推进乡村全面振兴。发展林下经济，壮大林草产业。”；“加快经济社会发展全面绿色转型，建设美丽中国。坚持山水林田湖草沙一体化保护和系统治理，统筹推进重要生态系统保护和修复重大工程。开展生态保护修复成效评估。加强青藏高原等地区生态屏障建设。完善多元化生态补偿机制，因地制宜拓展生态产品价值实现渠道”。</w:t>
      </w:r>
    </w:p>
    <w:p w14:paraId="3B4CF0D7">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党中央对西藏生态文明建设的新要求</w:t>
      </w:r>
    </w:p>
    <w:p w14:paraId="0F8A6F0A">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以习近平同志为核心的党中央高度重视西藏草原生态建设工作，并做出了一系列指示批示。中央第七次西藏工作座谈会明确指出“必须坚持生态保护第一”、“西藏是重要的国家安全屏障，也是重要的生态安全屏障”、“保护好青藏高原生态就是对中华民族生存和发展的最大贡献。要牢固树立绿水青山就是金山银山的理念，坚持对历史负责、对人民负责、对世界负责的态度，把生态文明建设摆在更加突出的位置，守护好高原的生灵草木、万水千山，把青藏高原打造成为全国乃至国际生态文明高地”。</w:t>
      </w:r>
    </w:p>
    <w:p w14:paraId="31D36DAD">
      <w:pPr>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2021</w:t>
      </w:r>
      <w:r>
        <w:rPr>
          <w:rFonts w:hint="eastAsia" w:ascii="Times New Roman" w:hAnsi="Times New Roman" w:cs="Times New Roman"/>
          <w:kern w:val="0"/>
          <w:sz w:val="24"/>
          <w:szCs w:val="24"/>
          <w:shd w:val="clear" w:color="auto" w:fill="FFFFFF"/>
        </w:rPr>
        <w:t>年</w:t>
      </w:r>
      <w:r>
        <w:rPr>
          <w:rFonts w:ascii="Times New Roman" w:hAnsi="Times New Roman" w:cs="Times New Roman"/>
          <w:kern w:val="0"/>
          <w:sz w:val="24"/>
          <w:szCs w:val="24"/>
          <w:shd w:val="clear" w:color="auto" w:fill="FFFFFF"/>
        </w:rPr>
        <w:t>7</w:t>
      </w:r>
      <w:r>
        <w:rPr>
          <w:rFonts w:hint="eastAsia" w:ascii="Times New Roman" w:hAnsi="Times New Roman" w:cs="Times New Roman"/>
          <w:kern w:val="0"/>
          <w:sz w:val="24"/>
          <w:szCs w:val="24"/>
          <w:shd w:val="clear" w:color="auto" w:fill="FFFFFF"/>
        </w:rPr>
        <w:t>月，总书记亲临西藏视察指导，看望慰问各族干部群众，祝贺西藏和平解放</w:t>
      </w:r>
      <w:r>
        <w:rPr>
          <w:rFonts w:ascii="Times New Roman" w:hAnsi="Times New Roman" w:cs="Times New Roman"/>
          <w:kern w:val="0"/>
          <w:sz w:val="24"/>
          <w:szCs w:val="24"/>
          <w:shd w:val="clear" w:color="auto" w:fill="FFFFFF"/>
        </w:rPr>
        <w:t>70</w:t>
      </w:r>
      <w:r>
        <w:rPr>
          <w:rFonts w:hint="eastAsia" w:ascii="Times New Roman" w:hAnsi="Times New Roman" w:cs="Times New Roman"/>
          <w:kern w:val="0"/>
          <w:sz w:val="24"/>
          <w:szCs w:val="24"/>
          <w:shd w:val="clear" w:color="auto" w:fill="FFFFFF"/>
        </w:rPr>
        <w:t>周年，并发表重要讲话，对西藏生态保护建设提出了更高要求。同年</w:t>
      </w:r>
      <w:r>
        <w:rPr>
          <w:rFonts w:ascii="Times New Roman" w:hAnsi="Times New Roman" w:cs="Times New Roman"/>
          <w:kern w:val="0"/>
          <w:sz w:val="24"/>
          <w:szCs w:val="24"/>
          <w:shd w:val="clear" w:color="auto" w:fill="FFFFFF"/>
        </w:rPr>
        <w:t>9</w:t>
      </w:r>
      <w:r>
        <w:rPr>
          <w:rFonts w:hint="eastAsia" w:ascii="Times New Roman" w:hAnsi="Times New Roman" w:cs="Times New Roman"/>
          <w:kern w:val="0"/>
          <w:sz w:val="24"/>
          <w:szCs w:val="24"/>
          <w:shd w:val="clear" w:color="auto" w:fill="FFFFFF"/>
        </w:rPr>
        <w:t>月，国家林草局党组书记、局长关志鸥出席在拉萨召开的国家林草局援藏工作座谈会，指出始终把支持西藏做好林草工作、加强青藏高原生态保护修复作为一项重要政治责任。</w:t>
      </w:r>
    </w:p>
    <w:p w14:paraId="6205FEAC">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2025年8月，总书记出席西藏自治区成立60周年庆祝活动，在听取西藏自治区党委和政府工作汇报时强调，西藏要全面贯彻新时代党的治藏方略，坚持稳中求进工作总基调，完整准确全面贯彻新发展理念，扎实推动高质量发展，持续深入抓好稳定、发展、生态、强边四件大事，努力建设团结富裕文明和谐美丽的社会主义现代化新西藏。习近平指出，西藏发展有自身特点，要从实际出发推动高质量发展。要因地制宜发展高原特色优势产业，特别是特色农牧业和清洁能源产业，持续发展资源加工业，积极发展现代服务业，促进文旅产业融合。要有力有序有效推进雅下水电工程、川藏铁路等重大项目建设。要加强生态文明建设，协同推进降碳、减污、扩绿、增长，守护好“世界屋脊”和“亚洲水塔”。</w:t>
      </w:r>
    </w:p>
    <w:p w14:paraId="0767DCB5">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党的新时代治藏方略突出强调生态文明建设在西藏工作中的重要地位，中央第七次西藏工作座谈会提出的“确保生态环境良好”、“必须坚持生态保护第一”的工作目标和任务，对西藏生态文明建设提出了新的更高要求。</w:t>
      </w:r>
    </w:p>
    <w:p w14:paraId="003241EA">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法律政策文件对编制草原专项规划的要求</w:t>
      </w:r>
    </w:p>
    <w:p w14:paraId="70D208A6">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中华人民共和国草原法》，第三条提出“国家对草原实行科学规划、全面保护、重点建设、合理利用的方针，促进草原的可持续利用和生态、经济、社会的协调发展”；第十七条提出“国家对草原保护、建设、利用实行统一规划制度，提出国务院草原行政主管部门会同国务院有关部门编制全国草原保护、建设、利用规划，报国务院批准后实施；县级以上地方人民政府草原行政主管部门会同同级有关部门依据上一级草原保护、建设、利用规划编制本行政区域的草原保护、建设、利用规划，报本级人民政府批准后实施。”并对县级以上草原行政主管部门编制《草原保护与建设利用规划》原则、建设内容等提出了明确要求。</w:t>
      </w:r>
    </w:p>
    <w:p w14:paraId="50ACF50D">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《中共中央国务院关于建立国土空间规划体系并监督实施的若干意见》（中发〔2019〕19 号），提出“强化对专项规划的指导约束作用。涉及空间利用的某一领域专项规划，如交通、能源、水利、农业、信息、市政等基础设施，公共服务设施，军事设施，以及生态环境保护、文物保护、林业草原等专项规划，由相关主管部门组织编制。相关专项规划可在国家、省和市县层级编制，不同层级、不同地区的专项规划可结合实际选择编制的类型和精度。”</w:t>
      </w:r>
    </w:p>
    <w:p w14:paraId="0D366E60">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《国务院办公厅关于加强草原保护修复的若干意见》（国办发〔2021〕7 号）第16 条明确要求“编制草原保护修复利用规划。按照因地制宜、分区施策的原则，依据国土空间规划，编制全国草原保护修复利用规划，明确草原功能分区、保护目标和管理措施。合理规划牧民定居点，防止出现定居点周边草原退化问题。地方各级人民政府要依据上一级规划，编制本行政区域草原保护修复利用规划并组织实施”。</w:t>
      </w:r>
    </w:p>
    <w:p w14:paraId="76C913F2">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中华人民共和国青藏高原生态保护法》，围绕全面保护和有效修复青藏高原高寒生态系统，提高生态系统质量和稳定性，增强生态产品供给能力和生态系统服务功能，对河流、湖泊、草原、森林、湿地等生态系统要素的保护作出规定，并提出：青藏高原地方各级人民政府应当落实本行政区域的生态保护修复、生态风险防控、优化产业结构和布局、维护青藏高原生态安全等责任；国务院和青藏高原县级以上地方人民政府应当将青藏高原生态保护工作纳入国民经济和社会发展规划；青藏高原县级以上地方人民政府按照国家有关规定，在本行政区域组织实施青藏高原生态保护修复等相关专项规划。</w:t>
      </w:r>
    </w:p>
    <w:p w14:paraId="242D7698">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关于推动饲草产业高质量发展的意见》（发改农经〔2024〕1579号）提出“积极发展人工种草，结合天然草原保护利用规划的编制实施，支持在土壤、水热等条件适宜的天然草原科学有序开展多年生人工草地建植和草种扩繁生产”。明确了天然草原保护利用规划是草原产业发展的重要基础和指南。</w:t>
      </w:r>
    </w:p>
    <w:p w14:paraId="167ADEB3">
      <w:pPr>
        <w:pStyle w:val="4"/>
        <w:numPr>
          <w:ilvl w:val="2"/>
          <w:numId w:val="2"/>
        </w:numPr>
        <w:spacing w:before="120" w:after="120" w:line="360" w:lineRule="auto"/>
        <w:rPr>
          <w:rStyle w:val="28"/>
          <w:color w:val="auto"/>
          <w:sz w:val="28"/>
          <w:szCs w:val="28"/>
          <w:u w:val="none"/>
        </w:rPr>
      </w:pPr>
      <w:bookmarkStart w:id="3" w:name="_Toc29940"/>
      <w:r>
        <w:rPr>
          <w:rStyle w:val="28"/>
          <w:rFonts w:hint="eastAsia"/>
          <w:color w:val="auto"/>
          <w:sz w:val="28"/>
          <w:szCs w:val="28"/>
          <w:u w:val="none"/>
        </w:rPr>
        <w:t>自治区层面</w:t>
      </w:r>
      <w:bookmarkEnd w:id="3"/>
    </w:p>
    <w:p w14:paraId="590BDE36">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草原保护修复是西藏自治区生态文明建设的主要内容</w:t>
      </w:r>
    </w:p>
    <w:p w14:paraId="362C9BC9">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西藏以创建国家生态文明高地为引领，相继印发了《关于创建国家生态文明建设示范区加快建设美丽西藏的决定》（藏党发〔2020〕11 号）《关于创建国家生态文明建设示范区加快建设美丽西藏的实施意见》（藏政发〔2020〕9 号）《关于全面推进美丽西藏建设的实施意见》等重要文件，颁布了《西藏自治区国家生态文明高地建设条例》《西藏自治区环境保护条例》，以“努力构筑生态系统功能稳定、生态环境质量良好、生态安全风险可控、人民群众认可满意的西藏生态安全屏障新格局”为目标，完善体制机制，加强生态系统保护，持续强化生物多样性保护，推动生态科研取得突破性进展，充分释放美丽西藏建设生态红利，对全区草原生态建设提出了具体要求。</w:t>
      </w:r>
    </w:p>
    <w:p w14:paraId="3C801288">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西藏草原资源丰富，根据第三次全国国土调查结果：西藏草原面积为12.01 亿亩，占全区总土地面积的66.5%，占全国草原总面积的三分之一，是全国草原面积最大的省（区）。草原有“地球皮肤”之称，是国家重要的生态安全屏障，是藏民族优秀文化传承和发扬的根基，是我国和南亚、东南亚地区的“江河源”“生态源”，是我国乃至世界气候系统的“扰动器”和“稳定器”，是西藏乃至全国生态文明建设的主要抓手、主要阵地。《西藏自治区国土空间规划（2021—2035 年）》明确提出构建生态安全格局和高原农牧格局两大战略，提出保护生态安全格局、优化生态保护红线与自然保护地、提供人与自然和谐共生的生物多样性环境、实施自然恢复为主导的生态修复、优化高原特色农牧空间格局、加强耕地与牧草地保护等重点任务，为草原生态保护修复和产业发展提供了指导。</w:t>
      </w:r>
    </w:p>
    <w:p w14:paraId="42ACFE65">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草原专项规划是落实上级领导部门指示批示的重要举措</w:t>
      </w:r>
    </w:p>
    <w:p w14:paraId="2E41BB66">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为进一步落实党中央、国务院对草原工作的决策部署，西藏自治区相继修订颁布了《西藏自治区国家生态文明高地建设条例》、《西藏自治区实施〈中华人民共和国草原法〉办法》、《西藏自治区草畜平衡管理办法（试行）》等地方性法规及规章，为草原生态保护提供了依据。为进一步规范、合理布局西藏草原工作，根据地方实际，出台了《西藏自治区关于加强草原保护修复的实施意见》（藏政办发﹝2022﹞33 号）、《关于退化天然草场种植多年生饲草有关事项的通知》（藏农厅发〔2024〕37 号）、《西藏自治区草原保护修复和草业发展规划（2021—2035 年）》，对全区编制草原专项规划提出了要求，为市、县级编制草原保护修复和草业发展规划提供了遵循。</w:t>
      </w:r>
    </w:p>
    <w:p w14:paraId="7354C656">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《西藏自治区关于加强草原保护修复的实施意见》（藏政办发﹝2022﹞33 号）要求“县级以上人民政府草原行政主管部门要依据上一级草原规划编制本行政区域草原保护修复利用规划，报本级人民政府批准后实施”。《关于退化天然草场种植多年生饲草有关事项的通知》（藏农厅发〔2024〕37 号）提出“科学谋划，密切配合。地（市）、县（区）林业和草原部门要严格按照《中华人民共和国草原法》等有关法律法规，加快编制草原保护建设利用规划，明确适宜种植牧草或饲草作物的区域”。</w:t>
      </w:r>
    </w:p>
    <w:p w14:paraId="20BAAD4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草原保护修复利用规划是深化草原综合改革的重要抓手</w:t>
      </w:r>
    </w:p>
    <w:p w14:paraId="2A811AFF">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为破解草原发展难题，立足新时期草原保护、发展需求， 国家林业和草原局印发了《关于共建草原保护发展综合改革试验区的函》（林草函字〔2023〕1 号），决定在内蒙古、西藏自治区和青海省建设草原保护发展综合改革试验区（以下简称试验区），并提出了“探索符合新时代草原高质量发展的改革路径，不断完善草原保护修复和草业发展”的顶层设计、“站在人与自然和谐共生的高度谋划草原保护发展”等要求。同年，西藏自治区人民政府办公厅印发了《西藏自治区国家草原保护发展综合改革试验区建设实施方案的通知》（藏政办函〔2023〕39 号），明确了拉萨市当雄县、日喀则市萨迦县、山南市措美县、林芝市工布江达县、昌都市卡若区、措美县班戈县、阿里地区噶尔县等7 县（区）开展试点改革工作。提出了六大任务22项工作，其中，“编制草原保护修复利用规划”作为重要工作之一在试点县（区）试点开展，要求“形成完善的草原分区管控布局和阶段性工作安排，探索分类管理”。</w:t>
      </w:r>
    </w:p>
    <w:p w14:paraId="4E2A8303">
      <w:pPr>
        <w:pStyle w:val="4"/>
        <w:numPr>
          <w:ilvl w:val="2"/>
          <w:numId w:val="2"/>
        </w:numPr>
        <w:spacing w:before="120" w:after="120" w:line="360" w:lineRule="auto"/>
        <w:rPr>
          <w:rStyle w:val="28"/>
          <w:color w:val="auto"/>
          <w:sz w:val="28"/>
          <w:szCs w:val="28"/>
          <w:u w:val="none"/>
        </w:rPr>
      </w:pPr>
      <w:bookmarkStart w:id="4" w:name="_Toc3866"/>
      <w:r>
        <w:rPr>
          <w:rStyle w:val="28"/>
          <w:rFonts w:hint="eastAsia"/>
          <w:color w:val="auto"/>
          <w:sz w:val="28"/>
          <w:szCs w:val="28"/>
          <w:u w:val="none"/>
        </w:rPr>
        <w:t>市级层面</w:t>
      </w:r>
      <w:bookmarkEnd w:id="4"/>
    </w:p>
    <w:p w14:paraId="693DF67F">
      <w:pPr>
        <w:widowControl/>
        <w:shd w:val="clear" w:color="auto" w:fill="FFFFFF"/>
        <w:spacing w:line="360" w:lineRule="auto"/>
        <w:ind w:firstLine="480" w:firstLineChars="200"/>
        <w:jc w:val="left"/>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昌都市牢固树立“绿水青山就是金山银山、冰天雪地也是金山银山”理念，围绕建设生态文明的发展战略，坚持“创新、协调、绿色、开放、共享”，以科学守护“世界上最后一方净土”为己任，围绕全市主体功能定位，以区域资源禀赋、环境承载能力为基础，科学规划产业布局，努力推动现代绿色生态产业发展，着力筑牢国家生态安全屏障和建立绿色循环低碳的可持续发展体系。</w:t>
      </w:r>
    </w:p>
    <w:p w14:paraId="3313E2B8">
      <w:pPr>
        <w:spacing w:line="360" w:lineRule="auto"/>
        <w:ind w:firstLine="480" w:firstLineChars="200"/>
        <w:rPr>
          <w:rFonts w:ascii="Times New Roman" w:hAnsi="Times New Roman" w:cs="Times New Roman"/>
          <w:kern w:val="0"/>
          <w:sz w:val="24"/>
          <w:szCs w:val="24"/>
          <w:shd w:val="clear" w:color="auto" w:fill="FFFFFF"/>
        </w:rPr>
      </w:pPr>
      <w:r>
        <w:rPr>
          <w:rFonts w:ascii="Times New Roman" w:hAnsi="Times New Roman" w:cs="Times New Roman"/>
          <w:kern w:val="0"/>
          <w:sz w:val="24"/>
          <w:szCs w:val="24"/>
          <w:shd w:val="clear" w:color="auto" w:fill="FFFFFF"/>
        </w:rPr>
        <w:t>在《昌都市国土空间</w:t>
      </w:r>
      <w:r>
        <w:rPr>
          <w:rFonts w:hint="eastAsia" w:ascii="Times New Roman" w:hAnsi="Times New Roman" w:cs="Times New Roman"/>
          <w:kern w:val="0"/>
          <w:sz w:val="24"/>
          <w:szCs w:val="24"/>
          <w:shd w:val="clear" w:color="auto" w:fill="FFFFFF"/>
        </w:rPr>
        <w:t>总体</w:t>
      </w:r>
      <w:r>
        <w:rPr>
          <w:rFonts w:ascii="Times New Roman" w:hAnsi="Times New Roman" w:cs="Times New Roman"/>
          <w:kern w:val="0"/>
          <w:sz w:val="24"/>
          <w:szCs w:val="24"/>
          <w:shd w:val="clear" w:color="auto" w:fill="FFFFFF"/>
        </w:rPr>
        <w:t>规划（202</w:t>
      </w:r>
      <w:r>
        <w:rPr>
          <w:rFonts w:hint="eastAsia" w:ascii="Times New Roman" w:hAnsi="Times New Roman" w:cs="Times New Roman"/>
          <w:kern w:val="0"/>
          <w:sz w:val="24"/>
          <w:szCs w:val="24"/>
          <w:shd w:val="clear" w:color="auto" w:fill="FFFFFF"/>
        </w:rPr>
        <w:t>1</w:t>
      </w:r>
      <w:r>
        <w:rPr>
          <w:rFonts w:ascii="Times New Roman" w:hAnsi="Times New Roman" w:cs="Times New Roman"/>
          <w:kern w:val="0"/>
          <w:sz w:val="24"/>
          <w:szCs w:val="24"/>
          <w:shd w:val="clear" w:color="auto" w:fill="FFFFFF"/>
        </w:rPr>
        <w:t>—2035年）》中，“科学保护与利用各类生态资源要素”将草地资源保护与利用放在首要位置，提出“科学保护与有序开发草地资源。建立健全草地分级保护管理体系和奖补机制。已划入自然保护地及生态保护红线范围内的草原，严格按照相关管控要求进行保护；建立草地健康评价体系，监测和控制草地利用；对不同区域的草地实行差别化补助，提高奖补鼓励效能；提高牧民环保意识，社区和牧民共同协商草场管理，兼顾当地经济发展和草原有效保护”</w:t>
      </w:r>
      <w:r>
        <w:rPr>
          <w:rFonts w:hint="eastAsia" w:ascii="Times New Roman" w:hAnsi="Times New Roman" w:cs="Times New Roman"/>
          <w:kern w:val="0"/>
          <w:sz w:val="24"/>
          <w:szCs w:val="24"/>
          <w:shd w:val="clear" w:color="auto" w:fill="FFFFFF"/>
        </w:rPr>
        <w:t>，</w:t>
      </w:r>
      <w:r>
        <w:rPr>
          <w:rFonts w:ascii="Times New Roman" w:hAnsi="Times New Roman" w:cs="Times New Roman"/>
          <w:kern w:val="0"/>
          <w:sz w:val="24"/>
          <w:szCs w:val="24"/>
          <w:shd w:val="clear" w:color="auto" w:fill="FFFFFF"/>
        </w:rPr>
        <w:t>为草原工作指明了方向。</w:t>
      </w:r>
    </w:p>
    <w:p w14:paraId="2FFC8741">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昌都市作为青藏高原重要生态屏障，其草原生态系统维系着长江、澜沧江、怒江上游水土保持与水源涵养功能，对区域生物多样性保护具有不可替代的作用。近年来，受气候变化与人类活动叠加影响，草原退化、沙化趋势尚未根本扭转，生态保护与牧民增收的协同机制亟待完善。在此背景下，科学编制本规划，旨在统筹生态承载力与可持续发展需求，推动草原保护修复与草产业发展深度融合，助力乡村振兴与生态文明建设目标实现。</w:t>
      </w:r>
    </w:p>
    <w:p w14:paraId="159FBEBA">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5" w:name="_Toc15266"/>
      <w:r>
        <w:rPr>
          <w:rStyle w:val="28"/>
          <w:rFonts w:ascii="Times New Roman" w:hAnsi="Times New Roman"/>
          <w:bCs/>
          <w:color w:val="auto"/>
          <w:kern w:val="2"/>
          <w:sz w:val="32"/>
          <w:szCs w:val="32"/>
          <w:u w:val="none"/>
        </w:rPr>
        <w:t>规划的必要性</w:t>
      </w:r>
      <w:bookmarkEnd w:id="5"/>
    </w:p>
    <w:p w14:paraId="3D51606D">
      <w:pPr>
        <w:spacing w:line="360" w:lineRule="auto"/>
        <w:ind w:firstLine="482" w:firstLineChars="200"/>
        <w:rPr>
          <w:rFonts w:ascii="Times New Roman" w:hAnsi="Times New Roman" w:cs="Times New Roman"/>
          <w:kern w:val="0"/>
          <w:sz w:val="24"/>
          <w:szCs w:val="24"/>
          <w:shd w:val="clear" w:color="auto" w:fill="FFFFFF"/>
        </w:rPr>
      </w:pPr>
      <w:r>
        <w:rPr>
          <w:rFonts w:hint="eastAsia" w:ascii="Times New Roman" w:hAnsi="Times New Roman" w:cs="Times New Roman"/>
          <w:b/>
          <w:bCs/>
          <w:kern w:val="0"/>
          <w:sz w:val="24"/>
          <w:szCs w:val="24"/>
          <w:shd w:val="clear" w:color="auto" w:fill="FFFFFF"/>
        </w:rPr>
        <w:t>（1）筑牢青藏高原生态安全屏障的迫切需要</w:t>
      </w:r>
    </w:p>
    <w:p w14:paraId="703229FE">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昌都市地处青藏高原东南缘，是长江、澜沧江、怒江等重要江河的上游水源涵养区，草原作为该区域面积最大的陆地生态系统，具有水源涵养、水土保持、防风固沙、碳汇调节等不可替代的生态功能。当前，受气候变化、过度放牧、鼠虫害等因素影响，部分区域草原出现退化、沙化、生物多样性下降等问题，直接威胁上游生态安全和下游流域的生态稳定。通过规划明确草原保护修复的目标、任务和措施，能够系统性遏制草原退化趋势，巩固和提升草原生态系统的服务功能，为青藏高原整体生态安全提供坚实支撑。</w:t>
      </w:r>
    </w:p>
    <w:p w14:paraId="333E88B7">
      <w:pPr>
        <w:spacing w:line="360" w:lineRule="auto"/>
        <w:ind w:firstLine="482" w:firstLineChars="200"/>
        <w:rPr>
          <w:rFonts w:ascii="Times New Roman" w:hAnsi="Times New Roman" w:cs="Times New Roman"/>
          <w:kern w:val="0"/>
          <w:sz w:val="24"/>
          <w:szCs w:val="24"/>
          <w:shd w:val="clear" w:color="auto" w:fill="FFFFFF"/>
        </w:rPr>
      </w:pPr>
      <w:r>
        <w:rPr>
          <w:rFonts w:hint="eastAsia" w:ascii="Times New Roman" w:hAnsi="Times New Roman" w:cs="Times New Roman"/>
          <w:b/>
          <w:bCs/>
          <w:kern w:val="0"/>
          <w:sz w:val="24"/>
          <w:szCs w:val="24"/>
          <w:shd w:val="clear" w:color="auto" w:fill="FFFFFF"/>
        </w:rPr>
        <w:t>（2）保障牧区民生改善和脱贫攻坚成果巩固的现实要求</w:t>
      </w:r>
    </w:p>
    <w:p w14:paraId="115B4A60">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草原是昌都市牧区群众赖以生存的生产资料和生活基础，畜牧业是牧区的主导产业，直接关系到牧民的收入水平和生活质量。长期以来，传统的粗放式放牧模式不仅加剧草原退化，也制约了畜牧业的可持续发展，导致牧区群众增收渠道狭窄。规划的编制能够推动草原保护与畜牧业发展的良性互动，通过落实禁牧休牧、草畜平衡、生态补偿等政策，保障牧民的基本收益；同时引导发展高效生态畜牧业、饲草产业等，拓宽牧民增收路径，巩固脱贫攻坚成果，助力牧区乡村振兴。</w:t>
      </w:r>
    </w:p>
    <w:p w14:paraId="779560FC">
      <w:pPr>
        <w:spacing w:line="360" w:lineRule="auto"/>
        <w:ind w:firstLine="482" w:firstLineChars="200"/>
        <w:rPr>
          <w:rFonts w:ascii="Times New Roman" w:hAnsi="Times New Roman" w:cs="Times New Roman"/>
          <w:b/>
          <w:bCs/>
          <w:kern w:val="0"/>
          <w:sz w:val="24"/>
          <w:szCs w:val="24"/>
          <w:shd w:val="clear" w:color="auto" w:fill="FFFFFF"/>
        </w:rPr>
      </w:pPr>
      <w:r>
        <w:rPr>
          <w:rFonts w:hint="eastAsia" w:ascii="Times New Roman" w:hAnsi="Times New Roman" w:cs="Times New Roman"/>
          <w:b/>
          <w:bCs/>
          <w:kern w:val="0"/>
          <w:sz w:val="24"/>
          <w:szCs w:val="24"/>
          <w:shd w:val="clear" w:color="auto" w:fill="FFFFFF"/>
        </w:rPr>
        <w:t>（3）推动草业高质量发展和产业结构优化升级的必然选择</w:t>
      </w:r>
    </w:p>
    <w:p w14:paraId="141D49EF">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草业是连接生态保护与畜牧业发展的关键纽带，涵盖饲草种植、草产品加工、草原旅游、草种繁育等多个领域。目前昌都市草业发展仍处于初级阶段，存在产业链条短、附加值低、科技支撑不足、市场化程度不高等问题。通过规划统筹布局草业发展空间，明确产业发展方向和重点项目，能够推动草业从传统的“饲草供给”向“生态+经济”复合功能转型，延长产业链、提升价值链，促进牧区产业结构从单一畜牧业向 “草—畜—游”融合发展转变，实现生态效益、经济效益和社会效益的统一。</w:t>
      </w:r>
    </w:p>
    <w:p w14:paraId="463E3303">
      <w:pPr>
        <w:spacing w:line="360" w:lineRule="auto"/>
        <w:ind w:firstLine="482" w:firstLineChars="200"/>
        <w:rPr>
          <w:rFonts w:ascii="Times New Roman" w:hAnsi="Times New Roman" w:cs="Times New Roman"/>
          <w:kern w:val="0"/>
          <w:sz w:val="24"/>
          <w:szCs w:val="24"/>
          <w:shd w:val="clear" w:color="auto" w:fill="FFFFFF"/>
        </w:rPr>
      </w:pPr>
      <w:r>
        <w:rPr>
          <w:rFonts w:hint="eastAsia" w:ascii="Times New Roman" w:hAnsi="Times New Roman" w:cs="Times New Roman"/>
          <w:b/>
          <w:bCs/>
          <w:kern w:val="0"/>
          <w:sz w:val="24"/>
          <w:szCs w:val="24"/>
          <w:shd w:val="clear" w:color="auto" w:fill="FFFFFF"/>
        </w:rPr>
        <w:t>（4）规范草原管理和落实国家重大战略部署的制度保障</w:t>
      </w:r>
    </w:p>
    <w:p w14:paraId="6845C4DA">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近年来，国家相继出台关于草原生态保护、长江经济带发展、黄河流域生态保护和高质量发展等一系列重大战略部署，昌都市作为重要生态节点，需要将国家战略转化为具体的行动方案。当前昌都市草原管理工作存在职责划分不清晰、政策执行碎片化、监测监管体系不完善等问题。规划的编制能够明确各部门的职责分工，建立健全草原保护修复的长效机制，完善草原监测、评估、考核体系，确保国家各项战略部署在昌都落地见效，实现草原资源的科学管理和可持续利用。</w:t>
      </w:r>
    </w:p>
    <w:p w14:paraId="62441271">
      <w:pPr>
        <w:spacing w:line="360" w:lineRule="auto"/>
        <w:ind w:firstLine="482" w:firstLineChars="200"/>
        <w:rPr>
          <w:rFonts w:ascii="Times New Roman" w:hAnsi="Times New Roman" w:cs="Times New Roman"/>
          <w:b/>
          <w:bCs/>
          <w:kern w:val="0"/>
          <w:sz w:val="24"/>
          <w:szCs w:val="24"/>
          <w:shd w:val="clear" w:color="auto" w:fill="FFFFFF"/>
        </w:rPr>
      </w:pPr>
      <w:r>
        <w:rPr>
          <w:rFonts w:hint="eastAsia" w:ascii="Times New Roman" w:hAnsi="Times New Roman" w:cs="Times New Roman"/>
          <w:b/>
          <w:bCs/>
          <w:kern w:val="0"/>
          <w:sz w:val="24"/>
          <w:szCs w:val="24"/>
          <w:shd w:val="clear" w:color="auto" w:fill="FFFFFF"/>
        </w:rPr>
        <w:t>（5）应对气候变化和提升区域生态韧性的重要举措</w:t>
      </w:r>
    </w:p>
    <w:p w14:paraId="4072CA5F">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草原生态系统是应对气候变化的重要缓冲器，健康的草原生态系统具有较强的抗干扰能力和自我修复能力。昌都市作为气候变化敏感区，气温升高、降水格局变化等因素对草原生态系统的影响日益凸显。规划通过科学布局草原修复工程，推广适应性管理措施，能够提升草原生态系统的韧性，增强其应对气候变化的能力；同时草原的碳汇功能也能为区域实现“双碳”目标贡献力量。</w:t>
      </w:r>
    </w:p>
    <w:p w14:paraId="30B71339">
      <w:pPr>
        <w:spacing w:line="360" w:lineRule="auto"/>
        <w:ind w:firstLine="480" w:firstLineChars="200"/>
        <w:rPr>
          <w:rFonts w:ascii="Times New Roman" w:hAnsi="Times New Roman" w:cs="Times New Roman"/>
          <w:kern w:val="0"/>
          <w:sz w:val="24"/>
          <w:szCs w:val="24"/>
          <w:shd w:val="clear" w:color="auto" w:fill="FFFFFF"/>
        </w:rPr>
      </w:pPr>
      <w:r>
        <w:rPr>
          <w:rFonts w:hint="eastAsia" w:ascii="Times New Roman" w:hAnsi="Times New Roman" w:cs="Times New Roman"/>
          <w:kern w:val="0"/>
          <w:sz w:val="24"/>
          <w:szCs w:val="24"/>
          <w:shd w:val="clear" w:color="auto" w:fill="FFFFFF"/>
        </w:rPr>
        <w:t>综上，编制草原生态保护修复和草业发展规划，是昌都市立足自身区位和资源禀赋，统筹生态、经济、社会效益的战略性举措，对区域长远发展具有不可替代的意义。</w:t>
      </w:r>
    </w:p>
    <w:p w14:paraId="2B08C5BC">
      <w:pPr>
        <w:rPr>
          <w:rFonts w:eastAsia="宋体"/>
          <w:bCs/>
          <w:kern w:val="44"/>
          <w:szCs w:val="44"/>
        </w:rPr>
      </w:pPr>
      <w:r>
        <w:rPr>
          <w:rFonts w:hint="eastAsia" w:eastAsia="宋体"/>
          <w:bCs/>
          <w:kern w:val="44"/>
          <w:szCs w:val="44"/>
        </w:rPr>
        <w:br w:type="page"/>
      </w:r>
    </w:p>
    <w:p w14:paraId="1E89C2EC">
      <w:pPr>
        <w:pStyle w:val="2"/>
        <w:numPr>
          <w:ilvl w:val="0"/>
          <w:numId w:val="2"/>
        </w:numPr>
        <w:spacing w:before="156" w:after="156" w:line="360" w:lineRule="auto"/>
        <w:rPr>
          <w:rFonts w:eastAsia="宋体"/>
          <w:bCs/>
          <w:snapToGrid/>
          <w:kern w:val="44"/>
          <w:szCs w:val="44"/>
        </w:rPr>
      </w:pPr>
      <w:bookmarkStart w:id="6" w:name="_Toc8205"/>
      <w:r>
        <w:rPr>
          <w:rFonts w:hint="eastAsia" w:eastAsia="宋体"/>
          <w:bCs/>
          <w:snapToGrid/>
          <w:kern w:val="44"/>
          <w:szCs w:val="44"/>
        </w:rPr>
        <w:t>规划区概况</w:t>
      </w:r>
      <w:bookmarkEnd w:id="6"/>
    </w:p>
    <w:p w14:paraId="3E08854E">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7" w:name="_Toc25590"/>
      <w:r>
        <w:rPr>
          <w:rStyle w:val="28"/>
          <w:rFonts w:ascii="Times New Roman" w:hAnsi="Times New Roman"/>
          <w:bCs/>
          <w:color w:val="auto"/>
          <w:kern w:val="2"/>
          <w:sz w:val="32"/>
          <w:szCs w:val="32"/>
          <w:u w:val="none"/>
        </w:rPr>
        <w:t>自然环境概况</w:t>
      </w:r>
      <w:bookmarkEnd w:id="7"/>
    </w:p>
    <w:p w14:paraId="610E0CB6">
      <w:pPr>
        <w:pStyle w:val="4"/>
        <w:numPr>
          <w:ilvl w:val="2"/>
          <w:numId w:val="2"/>
        </w:numPr>
        <w:spacing w:before="120" w:after="120" w:line="360" w:lineRule="auto"/>
        <w:rPr>
          <w:rStyle w:val="28"/>
          <w:color w:val="auto"/>
          <w:sz w:val="28"/>
          <w:szCs w:val="28"/>
          <w:u w:val="none"/>
        </w:rPr>
      </w:pPr>
      <w:bookmarkStart w:id="8" w:name="_Toc30511"/>
      <w:r>
        <w:rPr>
          <w:rStyle w:val="28"/>
          <w:rFonts w:hint="eastAsia"/>
          <w:color w:val="auto"/>
          <w:sz w:val="28"/>
          <w:szCs w:val="28"/>
          <w:u w:val="none"/>
        </w:rPr>
        <w:t>地理位置</w:t>
      </w:r>
      <w:bookmarkEnd w:id="8"/>
    </w:p>
    <w:p w14:paraId="0563FD8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昌都市位于西藏东部，地处东经</w:t>
      </w:r>
      <w:r>
        <w:rPr>
          <w:rFonts w:ascii="Times New Roman" w:hAnsi="Times New Roman" w:cs="Times New Roman"/>
          <w:sz w:val="24"/>
          <w:szCs w:val="24"/>
        </w:rPr>
        <w:t>93°6′~99°2′，北纬28°5′~32°6′之间</w:t>
      </w:r>
      <w:r>
        <w:rPr>
          <w:rFonts w:hint="eastAsia" w:ascii="Times New Roman" w:hAnsi="Times New Roman" w:cs="Times New Roman"/>
          <w:sz w:val="24"/>
          <w:szCs w:val="24"/>
        </w:rPr>
        <w:t>，东与四川省的德格、白玉、石渠、巴塘四县隔江相望，东南与云南省的德钦县接壤，西南与林芝市毗邻，西北与那曲市相连，北面与青海省的玉树州交界。昌都市国土总面积为10.98万平方公里。</w:t>
      </w:r>
    </w:p>
    <w:p w14:paraId="0B3F3738">
      <w:pPr>
        <w:spacing w:line="360" w:lineRule="auto"/>
        <w:rPr>
          <w:rFonts w:ascii="Times New Roman" w:hAnsi="Times New Roman" w:cs="Times New Roman"/>
          <w:sz w:val="24"/>
          <w:szCs w:val="24"/>
        </w:rPr>
      </w:pPr>
      <w:r>
        <w:drawing>
          <wp:inline distT="0" distB="0" distL="114300" distR="114300">
            <wp:extent cx="5676900" cy="3611880"/>
            <wp:effectExtent l="0" t="0" r="0" b="762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10" cstate="print"/>
                    <a:stretch>
                      <a:fillRect/>
                    </a:stretch>
                  </pic:blipFill>
                  <pic:spPr>
                    <a:xfrm>
                      <a:off x="0" y="0"/>
                      <a:ext cx="5676900" cy="3611880"/>
                    </a:xfrm>
                    <a:prstGeom prst="rect">
                      <a:avLst/>
                    </a:prstGeom>
                    <a:noFill/>
                    <a:ln>
                      <a:noFill/>
                    </a:ln>
                  </pic:spPr>
                </pic:pic>
              </a:graphicData>
            </a:graphic>
          </wp:inline>
        </w:drawing>
      </w:r>
    </w:p>
    <w:p w14:paraId="5F5DD27C">
      <w:pPr>
        <w:spacing w:line="360" w:lineRule="auto"/>
        <w:jc w:val="center"/>
      </w:pPr>
      <w:r>
        <w:rPr>
          <w:rFonts w:hint="eastAsia" w:ascii="Times New Roman" w:hAnsi="Times New Roman" w:eastAsia="黑体" w:cs="Times New Roman"/>
          <w:sz w:val="24"/>
          <w:szCs w:val="21"/>
        </w:rPr>
        <w:t>图2-1地理区位图</w:t>
      </w:r>
    </w:p>
    <w:p w14:paraId="1CF0A62E">
      <w:pPr>
        <w:pStyle w:val="4"/>
        <w:numPr>
          <w:ilvl w:val="2"/>
          <w:numId w:val="2"/>
        </w:numPr>
        <w:spacing w:before="120" w:after="120" w:line="360" w:lineRule="auto"/>
        <w:rPr>
          <w:rStyle w:val="28"/>
          <w:color w:val="auto"/>
          <w:sz w:val="28"/>
          <w:szCs w:val="28"/>
          <w:u w:val="none"/>
        </w:rPr>
      </w:pPr>
      <w:bookmarkStart w:id="9" w:name="_Toc18780"/>
      <w:r>
        <w:rPr>
          <w:rStyle w:val="28"/>
          <w:rFonts w:hint="eastAsia"/>
          <w:color w:val="auto"/>
          <w:sz w:val="28"/>
          <w:szCs w:val="28"/>
          <w:u w:val="none"/>
        </w:rPr>
        <w:t>生态区位</w:t>
      </w:r>
      <w:bookmarkEnd w:id="9"/>
    </w:p>
    <w:p w14:paraId="24479A5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生态定位核心是国家生态文明高地建设核心区、三江源生态安全屏障关键支撑区、亚洲水塔重要涵养地、青藏高原生物多样性保护优先区、高原绿色低碳发展先行区，以“生态优先、系统治理、绿色赋能”为导向，统筹保护与发展，筑牢国家生态安全的藏东防线。昌都以“最大价值、最大责任、最大潜力在生态”为共识，通过筑牢屏障、系统治理、绿色赋能，既守护国家生态安全底线，又激活生态经济新动能，成为青藏高原生态保护与高质量发展的典范区域。</w:t>
      </w:r>
    </w:p>
    <w:p w14:paraId="053E15CC">
      <w:pPr>
        <w:pStyle w:val="4"/>
        <w:numPr>
          <w:ilvl w:val="2"/>
          <w:numId w:val="2"/>
        </w:numPr>
        <w:spacing w:before="120" w:after="120" w:line="360" w:lineRule="auto"/>
        <w:rPr>
          <w:rStyle w:val="28"/>
          <w:color w:val="auto"/>
          <w:sz w:val="28"/>
          <w:szCs w:val="28"/>
          <w:u w:val="none"/>
        </w:rPr>
      </w:pPr>
      <w:bookmarkStart w:id="10" w:name="_Toc30011"/>
      <w:r>
        <w:rPr>
          <w:rStyle w:val="28"/>
          <w:rFonts w:hint="eastAsia"/>
          <w:color w:val="auto"/>
          <w:sz w:val="28"/>
          <w:szCs w:val="28"/>
          <w:u w:val="none"/>
        </w:rPr>
        <w:t>地形地貌</w:t>
      </w:r>
      <w:bookmarkEnd w:id="10"/>
      <w:r>
        <w:rPr>
          <w:rStyle w:val="28"/>
          <w:rFonts w:hint="eastAsia"/>
          <w:color w:val="auto"/>
          <w:sz w:val="28"/>
          <w:szCs w:val="28"/>
          <w:u w:val="none"/>
        </w:rPr>
        <w:t xml:space="preserve">                                                                     </w:t>
      </w:r>
    </w:p>
    <w:p w14:paraId="4A62CEE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昌都市总地势西北部高，东南部低，平均海拔3500米以上。</w:t>
      </w:r>
    </w:p>
    <w:p w14:paraId="2FFD239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西北部山体较完整，分水岭地区保存着宽广的高原面。东南部山体被切割成星罗棋布状。谷地由北向南逐步加深，岭谷栉比，河谷深切，仅有零星残存的高原面。高原主要分布在他念他翁山北段和宁静山，海拔在4000～4500米以上，最高处是位于边坝县境内的念青唐古拉山脊，海拔高达6980米；在北纬30°以南，为典型的高山峡谷区，河谷底海拔2500～3500米，最低处是芒康县的金沙江河谷，海拔仅2296米。</w:t>
      </w:r>
    </w:p>
    <w:p w14:paraId="788366D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山脉为南北走向，三条大江与三列山脉相间分布，平行骈走。从西向东依次是伯舒拉岭、怒江；他念他翁山、澜沧江；达玛拉山——宁静山、金沙江。山脉海拔多在4000~5000米左右，山脉之间有深邃的河谷，山岭与河谷的高差达1000～2000米。独特的自然地貌和地形结构，使雄美壮美的青藏高原愈加多姿多彩。</w:t>
      </w:r>
    </w:p>
    <w:p w14:paraId="3D4DD194">
      <w:pPr>
        <w:pStyle w:val="4"/>
        <w:numPr>
          <w:ilvl w:val="2"/>
          <w:numId w:val="2"/>
        </w:numPr>
        <w:spacing w:before="120" w:after="120" w:line="360" w:lineRule="auto"/>
        <w:rPr>
          <w:rStyle w:val="28"/>
          <w:color w:val="auto"/>
          <w:sz w:val="28"/>
          <w:szCs w:val="28"/>
          <w:u w:val="none"/>
        </w:rPr>
      </w:pPr>
      <w:bookmarkStart w:id="11" w:name="_Toc30876"/>
      <w:r>
        <w:rPr>
          <w:rStyle w:val="28"/>
          <w:rFonts w:hint="eastAsia"/>
          <w:color w:val="auto"/>
          <w:sz w:val="28"/>
          <w:szCs w:val="28"/>
          <w:u w:val="none"/>
        </w:rPr>
        <w:t>气候条件</w:t>
      </w:r>
      <w:bookmarkEnd w:id="11"/>
    </w:p>
    <w:p w14:paraId="1142E1F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属高原亚温带亚湿润气候，西北部、北部严寒干燥，东南部温和湿润；日照时间长，干湿分明，年平均气温在7.6℃，年降雨量在400—600毫米，由于山高谷深，地形复杂．故有“一山有四季、十里不同天”的高原气候特征。</w:t>
      </w:r>
    </w:p>
    <w:p w14:paraId="4C85257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昌都夏季气候温和湿润，冬季气候干冷，年温差小，日温差大。年平均</w:t>
      </w:r>
      <w:r>
        <w:fldChar w:fldCharType="begin"/>
      </w:r>
      <w:r>
        <w:instrText xml:space="preserve"> HYPERLINK "https://baike.so.com/doc/4754351-4969775.html" \t "_blank" </w:instrText>
      </w:r>
      <w:r>
        <w:fldChar w:fldCharType="separate"/>
      </w:r>
      <w:r>
        <w:rPr>
          <w:rFonts w:ascii="Times New Roman" w:hAnsi="Times New Roman" w:cs="Times New Roman"/>
          <w:sz w:val="24"/>
          <w:szCs w:val="24"/>
        </w:rPr>
        <w:t>日照</w:t>
      </w:r>
      <w:r>
        <w:rPr>
          <w:rFonts w:ascii="Times New Roman" w:hAnsi="Times New Roman" w:cs="Times New Roman"/>
          <w:sz w:val="24"/>
          <w:szCs w:val="24"/>
        </w:rPr>
        <w:fldChar w:fldCharType="end"/>
      </w:r>
      <w:r>
        <w:rPr>
          <w:rFonts w:ascii="Times New Roman" w:hAnsi="Times New Roman" w:cs="Times New Roman"/>
          <w:sz w:val="24"/>
          <w:szCs w:val="24"/>
        </w:rPr>
        <w:t>数为2100—2700小时，年无霜期46—162天，年降水量为477.7毫米，集中在5—9月。常见的自然灾害有霜冻、</w:t>
      </w:r>
      <w:r>
        <w:fldChar w:fldCharType="begin"/>
      </w:r>
      <w:r>
        <w:instrText xml:space="preserve"> HYPERLINK "https://baike.so.com/doc/2559552-2703187.html" \t "_blank" </w:instrText>
      </w:r>
      <w:r>
        <w:fldChar w:fldCharType="separate"/>
      </w:r>
      <w:r>
        <w:rPr>
          <w:rFonts w:ascii="Times New Roman" w:hAnsi="Times New Roman" w:cs="Times New Roman"/>
          <w:sz w:val="24"/>
          <w:szCs w:val="24"/>
        </w:rPr>
        <w:t>雪灾</w:t>
      </w:r>
      <w:r>
        <w:rPr>
          <w:rFonts w:ascii="Times New Roman" w:hAnsi="Times New Roman" w:cs="Times New Roman"/>
          <w:sz w:val="24"/>
          <w:szCs w:val="24"/>
        </w:rPr>
        <w:fldChar w:fldCharType="end"/>
      </w:r>
      <w:r>
        <w:rPr>
          <w:rFonts w:ascii="Times New Roman" w:hAnsi="Times New Roman" w:cs="Times New Roman"/>
          <w:sz w:val="24"/>
          <w:szCs w:val="24"/>
        </w:rPr>
        <w:t>、冰雹。</w:t>
      </w:r>
    </w:p>
    <w:p w14:paraId="53387C7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的气候以寒冷为基本特点。由于受南北平行峡谷及中低纬度地理位置等因素的影响，具有垂直分布明显和区域性差异大的特点。日照充足，太阳辐射强；日温差大，年温差小；降雨集中，季节分布不均，蒸发量大，相对湿度小。昌都地区山脉河流的南北纵向排列有利于暖湿气流的南北输送，峡谷高差悬殊，气候垂直变化大于水平变化。</w:t>
      </w:r>
    </w:p>
    <w:p w14:paraId="089551E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昌都平均海拔在3500米以上，空气稀薄，年平均气压和每立方空气中含氧量仅有平原地区的2/3。日温差大，年温差小，气温偏低。昌都地区各地年平均气温为2.4</w:t>
      </w:r>
      <w:r>
        <w:rPr>
          <w:rFonts w:hint="eastAsia" w:ascii="Times New Roman" w:hAnsi="Times New Roman" w:cs="Times New Roman"/>
          <w:sz w:val="24"/>
          <w:szCs w:val="24"/>
        </w:rPr>
        <w:t>℃</w:t>
      </w:r>
      <w:r>
        <w:rPr>
          <w:rFonts w:ascii="Times New Roman" w:hAnsi="Times New Roman" w:cs="Times New Roman"/>
          <w:sz w:val="24"/>
          <w:szCs w:val="24"/>
        </w:rPr>
        <w:t>—12.6</w:t>
      </w:r>
      <w:r>
        <w:rPr>
          <w:rFonts w:hint="eastAsia" w:ascii="Times New Roman" w:hAnsi="Times New Roman" w:cs="Times New Roman"/>
          <w:sz w:val="24"/>
          <w:szCs w:val="24"/>
        </w:rPr>
        <w:t>℃</w:t>
      </w:r>
      <w:r>
        <w:rPr>
          <w:rFonts w:ascii="Times New Roman" w:hAnsi="Times New Roman" w:cs="Times New Roman"/>
          <w:sz w:val="24"/>
          <w:szCs w:val="24"/>
        </w:rPr>
        <w:t>。降雨集中，季节分布不均。5月中旬—9月底的降水量在182.3—538.2毫米之间，占全年降雨量的77.9%—95.8%。10月至次年5月初的降水量为19.6—102.6毫米，仅占全年降水量的4.3%—21.2%。蒸发量大，相对湿度小。各地的年蒸发量在1325.3—2617.2毫米之间，地处怒江河谷的八宿年蒸发量最高，为2617.2毫米，是年降水量的10倍以上。</w:t>
      </w:r>
    </w:p>
    <w:p w14:paraId="77914C95">
      <w:pPr>
        <w:pStyle w:val="4"/>
        <w:numPr>
          <w:ilvl w:val="2"/>
          <w:numId w:val="2"/>
        </w:numPr>
        <w:spacing w:before="120" w:after="120" w:line="360" w:lineRule="auto"/>
        <w:rPr>
          <w:rStyle w:val="28"/>
          <w:color w:val="auto"/>
          <w:sz w:val="28"/>
          <w:szCs w:val="28"/>
          <w:u w:val="none"/>
        </w:rPr>
      </w:pPr>
      <w:bookmarkStart w:id="12" w:name="_Toc20204"/>
      <w:r>
        <w:rPr>
          <w:rStyle w:val="28"/>
          <w:rFonts w:hint="eastAsia"/>
          <w:color w:val="auto"/>
          <w:sz w:val="28"/>
          <w:szCs w:val="28"/>
          <w:u w:val="none"/>
        </w:rPr>
        <w:t>水文条件</w:t>
      </w:r>
      <w:bookmarkEnd w:id="12"/>
    </w:p>
    <w:p w14:paraId="02DF1B78">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河流</w:t>
      </w:r>
    </w:p>
    <w:p w14:paraId="7709AAA4">
      <w:pPr>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昌都市水系属外流水系，主要河流有怒江、澜沧江、金沙江及其支流，是中国及亚洲东南部主要河流的上游集结区之一，河流众多，水网发育。大小河流分属于太平洋和印度洋两大水系。怒江为萨尔温江的上游，该流域属印度洋水系。澜沧江、金沙江两条大河属太平洋水系，其中金沙江为长江上游，最终注入东海；澜沧江为东南亚著名河流——湄公河的上游，流经横断山脉地区，最后注入南海。此外，位于昌都市西南部的然乌湖是帕隆藏布江的源头，属雅鲁藏布江水系，它最终流入印度洋。</w:t>
      </w:r>
    </w:p>
    <w:p w14:paraId="7558E041">
      <w:pPr>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昌都市的水系格局受到地质构造和外营力因素的控制，但在各河的不同河段表现出明显的差别。怒江、澜沧江、金沙江源自青藏高原腹地，它们进入昌都市逐渐转变为近南北走向，这3条亚洲南部最大的河流汇聚于本区，形成了举世闻名的“三江并流”奇观，其最窄处，怒江经澜沧江至金沙江的直线距离68千米。由此向南金沙江率先转向东南，并向东奔去。因此，真正的“三江并流”奇观是在昌都市完成的，是昌都市所特有的。由于昌都市受青藏高原第四纪以来强烈隆起的影响，上述三条大江及其支流的下游河段强烈切割，在地貌上形成了相对起伏达1000～2000米以上的深切大峡谷，“三江并流、平行岭谷”成为昌都市特有的地貌景观。怒江、澜沧江、金沙江的河流与水文特点不仅对本区，而且对整个青藏高原</w:t>
      </w:r>
      <w:r>
        <w:rPr>
          <w:rFonts w:hint="eastAsia" w:ascii="Times New Roman" w:hAnsi="Times New Roman" w:cs="Times New Roman"/>
          <w:sz w:val="24"/>
          <w:szCs w:val="24"/>
        </w:rPr>
        <w:t>及</w:t>
      </w:r>
      <w:r>
        <w:rPr>
          <w:rFonts w:ascii="Times New Roman" w:hAnsi="Times New Roman" w:cs="Times New Roman"/>
          <w:sz w:val="24"/>
          <w:szCs w:val="24"/>
        </w:rPr>
        <w:t>东亚和东南亚都有重要的意义。</w:t>
      </w:r>
    </w:p>
    <w:p w14:paraId="73C9FE49">
      <w:pPr>
        <w:spacing w:line="360" w:lineRule="auto"/>
        <w:ind w:firstLine="480" w:firstLineChars="200"/>
        <w:jc w:val="left"/>
        <w:rPr>
          <w:rFonts w:ascii="Times New Roman" w:hAnsi="Times New Roman" w:cs="Times New Roman"/>
          <w:sz w:val="24"/>
          <w:szCs w:val="24"/>
        </w:rPr>
      </w:pPr>
      <w:r>
        <w:rPr>
          <w:rFonts w:ascii="Times New Roman" w:hAnsi="Times New Roman" w:cs="Times New Roman"/>
          <w:sz w:val="24"/>
          <w:szCs w:val="24"/>
        </w:rPr>
        <w:t>昌都市的地表径流受区域气候条件、地貌与植被、土壤垂直地带分布特征的影响，年径流地区分布趋势为自西向东减少，山地大于河谷，迎风坡大于背风坡，其特点与年降水地区分布趋势相一致。本区大多数河流补给主要是雨水和地下水，冰雪融水补给仅在昌都市的西、南边缘地区怒江和雅鲁藏布江的支流源头。昌都市河流水量较丰富，据水文观测结果推算：昌都市的多年平均出境水量为2530.2立方每秒，年径流量797.2亿立方米。季节分配的地区径流年际变化不大，最大水年平均流量与多年平均流量的比值最小为1.17，最大为2.24，平均为1.46。最小水年平均流量与多年平均流量的比值，全区平均为0.7左右。地区河川径流的年内分配与年际变化与河流的径流补给关系最为密切。在昌都市各类径流补给中，由于地下水和冰雪融水占一定比重，因而径流年际变化较小，又由于年内降水集中，使得以雨水为主要补给的河流其径流年内分配很不均匀。</w:t>
      </w:r>
    </w:p>
    <w:p w14:paraId="1188956A">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湖泊</w:t>
      </w:r>
    </w:p>
    <w:p w14:paraId="37D99123">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昌都市湖泊数量多但规模很小，超过10平方公里的湖泊，仅有莽错（面积18平方公里，海拔4310米）和然乌湖（面积含安贡错共达18.4平方公里，海拔约3800米）2 个。此外，较大的湖泊还有布托错青（面积9.0平方公里，海拔4660米）、布托错穷（面积6.4平方公里，海拔4590米）、仁错（面积3.7平方公里，海拔4430米）。昌都市的湖泊全部为外流淡水湖。湖泊的成因多样，有构造成因、冰川成因以及其他成因（如堵塞谷地成湖）等。其中莽错的形成与构造活动有关。但昌都湖泊大多为古冰川作用形成的冰川湖，如布托错青和布托错穷，其中面积在1平方公里以下的高山湖泊基本上都为冰川湖泊。也有一些湖泊为现代谷地被山崩、滑坡或泥石流堵塞形成的堰塞湖泊，如然乌湖就是由山崩堵塞而形成的。</w:t>
      </w:r>
    </w:p>
    <w:p w14:paraId="0725D5FF">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冰川</w:t>
      </w:r>
    </w:p>
    <w:p w14:paraId="3438DBAE">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的现代冰川主要分布在西南高山极高山地，如岗日嘎布、念青唐古拉山——伯舒拉岭，强拉日，他念他翁山南部的达美拥雪山和梅里雪山等。其中昌都市西南的岗日嘎布正处于印度洋季风向青藏高原输送水汽的主要通道上，是青藏高原南部边缘受西藏自治区西南季风影响最强烈的一条山脉，是青藏高原上现代冰川覆盖率最高的山脉。昌都市绝大多数冰川是在季风海洋性气候条件下形成的，属海洋性冰川。只在西北部唐古拉山可能属复合型过渡性冰川。</w:t>
      </w:r>
    </w:p>
    <w:p w14:paraId="488E2650">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冰川总条数达数百条，为青藏高原上冰川集中分布区之一。区内冰川分布的总趋势受海拔变低影响自西向东减少。宁静山不仅海拔较低，而且受两侧平行山岭的阻拦，形成东西气流难以伸入的雨影区，因而成为区内各山系中的现代冰川的山岭。现代冰川的形态类型有悬冰川、冰斗——悬冰川、冰斗冰川、冰斗——山谷冰川、山谷冰川、峡谷冰川、坡面冰川和冰帽或平顶冰川8种类型。其中山谷冰川是各类冰川中规模最大的一种大型冰川，主要分布在岗日嘎布、念青唐古拉山——伯舒拉岭，强拉日，他念他翁山南部的达美拥雪山和梅里雪山等最高隆起区，长数公里至十多公里，面积数平方公里至几十平方公里，是本区主要的冰川类型。其中最大的山谷冰川是然乌湖南面的来古冰川（又称雅弄冰川），长约26000米，宽达2000～4000米，冰川末端伸至4000米以下。在边坝县南部念青唐古拉山北坡也有一系列冰川发育，冰川末端下伸到海拔4500米左右。</w:t>
      </w:r>
    </w:p>
    <w:p w14:paraId="4B86FCA8">
      <w:pPr>
        <w:spacing w:line="360" w:lineRule="auto"/>
        <w:rPr>
          <w:rFonts w:ascii="Times New Roman" w:hAnsi="Times New Roman" w:cs="Times New Roman"/>
          <w:sz w:val="24"/>
          <w:szCs w:val="24"/>
        </w:rPr>
      </w:pPr>
      <w:r>
        <w:drawing>
          <wp:inline distT="0" distB="0" distL="114300" distR="114300">
            <wp:extent cx="5678170" cy="4028440"/>
            <wp:effectExtent l="0" t="0" r="17780" b="1016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11" cstate="print"/>
                    <a:stretch>
                      <a:fillRect/>
                    </a:stretch>
                  </pic:blipFill>
                  <pic:spPr>
                    <a:xfrm>
                      <a:off x="0" y="0"/>
                      <a:ext cx="5678170" cy="4028440"/>
                    </a:xfrm>
                    <a:prstGeom prst="rect">
                      <a:avLst/>
                    </a:prstGeom>
                    <a:noFill/>
                    <a:ln>
                      <a:noFill/>
                    </a:ln>
                  </pic:spPr>
                </pic:pic>
              </a:graphicData>
            </a:graphic>
          </wp:inline>
        </w:drawing>
      </w:r>
    </w:p>
    <w:p w14:paraId="0E0E669F">
      <w:pPr>
        <w:spacing w:line="360" w:lineRule="auto"/>
        <w:jc w:val="center"/>
      </w:pPr>
      <w:r>
        <w:rPr>
          <w:rFonts w:hint="eastAsia" w:ascii="Times New Roman" w:hAnsi="Times New Roman" w:eastAsia="黑体" w:cs="Times New Roman"/>
          <w:sz w:val="24"/>
          <w:szCs w:val="21"/>
        </w:rPr>
        <w:t>图2-2水系分布图</w:t>
      </w:r>
    </w:p>
    <w:p w14:paraId="127DEEDF">
      <w:pPr>
        <w:pStyle w:val="4"/>
        <w:numPr>
          <w:ilvl w:val="2"/>
          <w:numId w:val="2"/>
        </w:numPr>
        <w:spacing w:before="120" w:after="120" w:line="360" w:lineRule="auto"/>
        <w:rPr>
          <w:rStyle w:val="28"/>
          <w:color w:val="auto"/>
          <w:sz w:val="28"/>
          <w:szCs w:val="28"/>
          <w:u w:val="none"/>
        </w:rPr>
      </w:pPr>
      <w:bookmarkStart w:id="13" w:name="_Toc2639"/>
      <w:r>
        <w:rPr>
          <w:rStyle w:val="28"/>
          <w:rFonts w:hint="eastAsia"/>
          <w:color w:val="auto"/>
          <w:sz w:val="28"/>
          <w:szCs w:val="28"/>
          <w:u w:val="none"/>
        </w:rPr>
        <w:t>土壤条件</w:t>
      </w:r>
      <w:bookmarkEnd w:id="13"/>
    </w:p>
    <w:p w14:paraId="6421BAE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土壤类型包括高山寒漠土、山地灰褐土等。高山寒漠土在海拔较高的高原山地分布较多，其上为亚高山草甸土或高山草甸土；山地灰褐土主要分布在贡觉县的河谷地带，土质主要为沙壤土、粘壤土，该地带土体较为深厚，有机质含量稍高，土壤保水保肥力相对较好，适合于林草生长。</w:t>
      </w:r>
    </w:p>
    <w:p w14:paraId="2C29BECA">
      <w:pPr>
        <w:pStyle w:val="4"/>
        <w:numPr>
          <w:ilvl w:val="2"/>
          <w:numId w:val="2"/>
        </w:numPr>
        <w:spacing w:before="120" w:after="120" w:line="360" w:lineRule="auto"/>
        <w:rPr>
          <w:rStyle w:val="28"/>
          <w:color w:val="auto"/>
          <w:sz w:val="28"/>
          <w:szCs w:val="28"/>
          <w:u w:val="none"/>
        </w:rPr>
      </w:pPr>
      <w:bookmarkStart w:id="14" w:name="_Toc15900"/>
      <w:r>
        <w:rPr>
          <w:rStyle w:val="28"/>
          <w:rFonts w:hint="eastAsia"/>
          <w:color w:val="auto"/>
          <w:sz w:val="28"/>
          <w:szCs w:val="28"/>
          <w:u w:val="none"/>
        </w:rPr>
        <w:t>植被类型及分布特征</w:t>
      </w:r>
      <w:bookmarkEnd w:id="14"/>
    </w:p>
    <w:p w14:paraId="19D427C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植被分类系统，昌都市天然植被可分为寒温山地硬叶常绿栎类林、寒温性针叶林、暖温性稀树灌木草丛、寒温草甸、沼泽化草甸、寒温性灌丛、干暖河谷灌丛（主要为东南部澜沧江、怒江、金沙江沿岸以两头毛、蓝雪花等为优势种的灌丛）七种植被类型。</w:t>
      </w:r>
    </w:p>
    <w:p w14:paraId="4F557F0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受垂直地带性及低纬度位置的共同影响，昌都市呈现高原亚温带亚湿润气候，年均气温在2.4~16.6℃的范围内波动，年降水量约477.7mm，且主要集中在5至9月，此间降水量约占其全年总降水量的77.9%~95.8%。昌都市自然植被的垂直地带性明显，海拔3900m以下主要为草甸草原与灌丛草原，海拔3900～4400m的谷坡多分布森林灌丛，海拔4400～4800m地带则主要分布高寒草甸，至海拔4800m以上仅分布稀疏垫状植被与裸露岩石。总体来说，草地与森林是昌都市两大主要植被类型，其中，草地的分布较为广泛，无明显空间聚集特征；森林则主要沿三江流域呈带状分布，并在昌都市东南（芒康、左贡）出现集中分布区。</w:t>
      </w:r>
    </w:p>
    <w:p w14:paraId="01B02F01">
      <w:pPr>
        <w:pStyle w:val="4"/>
        <w:numPr>
          <w:ilvl w:val="2"/>
          <w:numId w:val="2"/>
        </w:numPr>
        <w:spacing w:before="120" w:after="120" w:line="360" w:lineRule="auto"/>
        <w:rPr>
          <w:rStyle w:val="28"/>
          <w:color w:val="auto"/>
          <w:sz w:val="28"/>
          <w:szCs w:val="28"/>
          <w:u w:val="none"/>
        </w:rPr>
      </w:pPr>
      <w:bookmarkStart w:id="15" w:name="_Toc19974"/>
      <w:r>
        <w:rPr>
          <w:rStyle w:val="28"/>
          <w:rFonts w:hint="eastAsia"/>
          <w:color w:val="auto"/>
          <w:sz w:val="28"/>
          <w:szCs w:val="28"/>
          <w:u w:val="none"/>
        </w:rPr>
        <w:t>动植物资源</w:t>
      </w:r>
      <w:bookmarkEnd w:id="15"/>
    </w:p>
    <w:p w14:paraId="754AE5F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植物资源</w:t>
      </w:r>
    </w:p>
    <w:p w14:paraId="7839A677">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（1）栽培作物</w:t>
      </w:r>
    </w:p>
    <w:p w14:paraId="7BFB32B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粮食作物播种面积中，青稞占72%，小麦占15%，玉米、杂粮、豆类仅占13%，油菜占0.7%。种植的喜凉作物有冬青稞、冬小麦、春青稞、春小麦、豌豆、蚕豆、马铃薯、甜菜；喜温作物有玉米、小米、鸡爪谷、油菜、芝麻、荞麦等；还有苹果、梨、桃、杏、葡萄、石榴、核桃、花椒等果树；喜温瓜类和喜凉的蔬菜有南瓜、西瓜、黄瓜以及西红柿、辣椒、茄子、莲花白、大白菜、花菜、油菜、菠菜、萝卜、芹菜、莴笋、葱、蒜、韭菜等。由于昌都市的日照时间长，太阳辐射强，光、温、水协调，适宜于喜凉作物生长，水果品种多，质量好。察雅县、八宿县的苹果个大，色泽鲜艳，皮薄脆香。芒康县、左贡县的石榴则皮薄、肉多、味美。</w:t>
      </w:r>
    </w:p>
    <w:p w14:paraId="293C76D0">
      <w:pPr>
        <w:spacing w:line="360" w:lineRule="auto"/>
        <w:ind w:left="479" w:leftChars="228"/>
        <w:rPr>
          <w:rFonts w:ascii="Times New Roman" w:hAnsi="Times New Roman" w:cs="Times New Roman"/>
          <w:sz w:val="24"/>
          <w:szCs w:val="24"/>
        </w:rPr>
      </w:pPr>
      <w:r>
        <w:rPr>
          <w:rFonts w:ascii="Times New Roman" w:hAnsi="Times New Roman" w:cs="Times New Roman"/>
          <w:sz w:val="24"/>
          <w:szCs w:val="24"/>
        </w:rPr>
        <w:t>（2）</w:t>
      </w:r>
      <w:r>
        <w:rPr>
          <w:rFonts w:hint="eastAsia" w:ascii="Times New Roman" w:hAnsi="Times New Roman" w:cs="Times New Roman"/>
          <w:sz w:val="24"/>
          <w:szCs w:val="24"/>
        </w:rPr>
        <w:t>野生植物</w:t>
      </w:r>
    </w:p>
    <w:p w14:paraId="41C9EDF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森林资源是中国西南地区森林资源的主要组成部分，不仅树种多，材质好，木材蓄积量大，而且均为原生林。昌都市针叶林主要有云杉、冷杉、高山松、油松、大果红松、鳞皮杉等。针阔混交林主要树种有青冈、山杨、桦木、川滇高山栎、大果园柏、槭树、核桃、云杉、高山松等。此外，还有高山柳、三棵针、锦鸡儿、杜鹃金露梅、爬地柏等灌木林。除建材林外，还有药用植物1200多种，主要有冬虫夏草、贝母、大黄、麻黄草等。冬虫夏草以虫体饱满、外色金黄、内色粉白、味鲜、清脆而闻名中外，年产量约1～1.5万公斤。贝母有川贝母、梭砂贝母、高山贝母、喜马拉雅黄芪贝母五种。大黄又有掌叶大黄，喜马拉雅大黄、心叶大黄、塔形大黄、藏边大黄等品种。其中掌叶大黄被药典记载为药用正品。此外，还有知母、胡黄连、天麻、三七、雪莲花、当归、党参、秦艽、雪山一枝蒿等。在林区和草原，还有丰富的菌类资源。如香菇、猴头、獐子菌、松茸等，营养丰富，味道鲜美，而且含有抗癌物质，远销国内外。</w:t>
      </w:r>
    </w:p>
    <w:p w14:paraId="282EB5DC">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动物资源</w:t>
      </w:r>
    </w:p>
    <w:p w14:paraId="4D2101B7">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在昌都市的草原、森林，繁衍生息着种类繁多的动物，被动物学家誉为</w:t>
      </w:r>
      <w:r>
        <w:rPr>
          <w:rFonts w:hint="eastAsia" w:ascii="Times New Roman" w:hAnsi="Times New Roman" w:cs="Times New Roman"/>
          <w:sz w:val="24"/>
          <w:szCs w:val="24"/>
        </w:rPr>
        <w:t>“</w:t>
      </w:r>
      <w:r>
        <w:rPr>
          <w:rFonts w:ascii="Times New Roman" w:hAnsi="Times New Roman" w:cs="Times New Roman"/>
          <w:sz w:val="24"/>
          <w:szCs w:val="24"/>
        </w:rPr>
        <w:t>雉类王国</w:t>
      </w:r>
      <w:r>
        <w:rPr>
          <w:rFonts w:hint="eastAsia" w:ascii="Times New Roman" w:hAnsi="Times New Roman" w:cs="Times New Roman"/>
          <w:sz w:val="24"/>
          <w:szCs w:val="24"/>
        </w:rPr>
        <w:t>”</w:t>
      </w:r>
      <w:r>
        <w:rPr>
          <w:rFonts w:ascii="Times New Roman" w:hAnsi="Times New Roman" w:cs="Times New Roman"/>
          <w:sz w:val="24"/>
          <w:szCs w:val="24"/>
        </w:rPr>
        <w:t>。</w:t>
      </w:r>
    </w:p>
    <w:p w14:paraId="58F6327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（1）家养动物</w:t>
      </w:r>
    </w:p>
    <w:p w14:paraId="5504728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昌都市的牲畜</w:t>
      </w:r>
      <w:r>
        <w:rPr>
          <w:rFonts w:ascii="Times New Roman" w:hAnsi="Times New Roman" w:cs="Times New Roman"/>
          <w:sz w:val="24"/>
          <w:szCs w:val="24"/>
        </w:rPr>
        <w:t>主要有牦牛、犏牛、黄牛、马、驴、骡、绵羊、山羊、猪、鸡、鸭、鹅、兔等。</w:t>
      </w:r>
      <w:r>
        <w:rPr>
          <w:rFonts w:hint="eastAsia" w:ascii="Times New Roman" w:hAnsi="Times New Roman" w:cs="Times New Roman"/>
          <w:sz w:val="24"/>
          <w:szCs w:val="24"/>
        </w:rPr>
        <w:t>其中牛和羊的存栏量较大，是当地畜牧业的重要组成部分。牛是昌都市存栏量最多的牲畜，昌都市的牛品种丰富，其中牦牛是主要品种之一，类乌齐牦牛更是当地的特色品种。昌都市有绵羊和山羊等品种，阿旺绵羊是当地的优良绵羊品种，当地建有多个阿旺绵羊养殖基地。昌都市有一定规模的生猪养殖，当地建成了23个藏香猪养殖基地。藏香鸡也是昌都市特色养殖的重要组成部分。比如边坝县依托天然牧场，采用“龙头企业 + 基地 + 农户”的模式，大力发展藏香鸡产业。</w:t>
      </w:r>
    </w:p>
    <w:p w14:paraId="7F53F0B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（2）野生动物</w:t>
      </w:r>
    </w:p>
    <w:p w14:paraId="1CEAD415">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昌都地区野生物种类约占全区野生物种类的80%，其中珍稀动物约占全区的40%。主要有羚羊、野牦牛、麝、鹿等。</w:t>
      </w:r>
      <w:r>
        <w:rPr>
          <w:rFonts w:ascii="Times New Roman" w:hAnsi="Times New Roman" w:cs="Times New Roman"/>
          <w:sz w:val="24"/>
          <w:szCs w:val="24"/>
        </w:rPr>
        <w:t>列为国家一级保护动物的有17种，二级保护动物54种。兽类动物主要有猕猴、滇金丝猴、豺、獐子、赤狐、藏狐、黑熊、棕熊、马来熊、石貂、水獭、小灵猫、金猫、豹猫、豹、方豹、猞猁、狐狸、狼、白唇鹿、马鹿、水鹿、普氏原羚、藏原羚、岩羊、盘羊。鸟类动物主要有彩鹳、黑鹳、赤麻鸭、金雕、鹰、雕、蛇雕、草原雕、鸢、苍鹰、秃鹫、松雀鹰、藏雪鸡、藏马鸡、血雉、雉鹑、大徘胸鹦鹉。鱼类主要有怒江裂腹鱼、光唇裂腹鱼、裸腹重腹鱼等品种。其中鲤科的裂腹鱼亚种，不仅种群数量多，而且分布范围广，具有很高的渔业开发价值。</w:t>
      </w:r>
    </w:p>
    <w:p w14:paraId="4D4E1186">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16" w:name="_Toc17610"/>
      <w:r>
        <w:rPr>
          <w:rStyle w:val="28"/>
          <w:rFonts w:ascii="Times New Roman" w:hAnsi="Times New Roman"/>
          <w:bCs/>
          <w:color w:val="auto"/>
          <w:kern w:val="2"/>
          <w:sz w:val="32"/>
          <w:szCs w:val="32"/>
          <w:u w:val="none"/>
        </w:rPr>
        <w:t>社会经济概况</w:t>
      </w:r>
      <w:bookmarkEnd w:id="16"/>
    </w:p>
    <w:p w14:paraId="145700C5">
      <w:pPr>
        <w:pStyle w:val="4"/>
        <w:numPr>
          <w:ilvl w:val="2"/>
          <w:numId w:val="2"/>
        </w:numPr>
        <w:spacing w:before="120" w:after="120" w:line="360" w:lineRule="auto"/>
        <w:rPr>
          <w:rStyle w:val="28"/>
          <w:color w:val="auto"/>
          <w:sz w:val="28"/>
          <w:szCs w:val="28"/>
          <w:u w:val="none"/>
        </w:rPr>
      </w:pPr>
      <w:bookmarkStart w:id="17" w:name="_Toc13224"/>
      <w:r>
        <w:rPr>
          <w:rStyle w:val="28"/>
          <w:color w:val="auto"/>
          <w:sz w:val="28"/>
          <w:szCs w:val="28"/>
          <w:u w:val="none"/>
        </w:rPr>
        <w:t>行政区划</w:t>
      </w:r>
      <w:bookmarkEnd w:id="17"/>
    </w:p>
    <w:p w14:paraId="7348B4FB">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昌都市辖1个市辖区（卡若区）、10个县（丁青县、江达县、芒康县、类乌齐县、察雅县、洛隆县、左贡县、八宿县、边坝县、贡觉县），包括28个镇，110个乡。市政府驻卡若区。各区县行政区划情况如下表所示。</w:t>
      </w:r>
    </w:p>
    <w:p w14:paraId="521F895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表2-1昌都市行政区划一览表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6645"/>
        <w:gridCol w:w="1159"/>
      </w:tblGrid>
      <w:tr w14:paraId="71E8F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47BF1156">
            <w:pPr>
              <w:spacing w:line="360" w:lineRule="auto"/>
              <w:jc w:val="center"/>
              <w:rPr>
                <w:rFonts w:ascii="Times New Roman" w:hAnsi="Times New Roman" w:cs="Times New Roman"/>
                <w:szCs w:val="21"/>
              </w:rPr>
            </w:pPr>
            <w:r>
              <w:rPr>
                <w:rFonts w:hint="eastAsia" w:ascii="Times New Roman" w:hAnsi="Times New Roman" w:cs="Times New Roman"/>
                <w:szCs w:val="21"/>
              </w:rPr>
              <w:t>县级行政区</w:t>
            </w:r>
          </w:p>
        </w:tc>
        <w:tc>
          <w:tcPr>
            <w:tcW w:w="6645" w:type="dxa"/>
            <w:vAlign w:val="center"/>
          </w:tcPr>
          <w:p w14:paraId="3DC15A69">
            <w:pPr>
              <w:spacing w:line="360" w:lineRule="auto"/>
              <w:jc w:val="center"/>
              <w:rPr>
                <w:rFonts w:ascii="Times New Roman" w:hAnsi="Times New Roman" w:cs="Times New Roman"/>
                <w:szCs w:val="21"/>
              </w:rPr>
            </w:pPr>
            <w:r>
              <w:rPr>
                <w:rFonts w:hint="eastAsia" w:ascii="Times New Roman" w:hAnsi="Times New Roman" w:cs="Times New Roman"/>
                <w:szCs w:val="21"/>
              </w:rPr>
              <w:t>下辖地区</w:t>
            </w:r>
          </w:p>
        </w:tc>
        <w:tc>
          <w:tcPr>
            <w:tcW w:w="1159" w:type="dxa"/>
            <w:vAlign w:val="center"/>
          </w:tcPr>
          <w:p w14:paraId="2D6E64BD">
            <w:pPr>
              <w:spacing w:line="360" w:lineRule="auto"/>
              <w:jc w:val="center"/>
              <w:rPr>
                <w:rFonts w:ascii="Times New Roman" w:hAnsi="Times New Roman" w:cs="Times New Roman"/>
                <w:szCs w:val="21"/>
              </w:rPr>
            </w:pPr>
            <w:r>
              <w:rPr>
                <w:rFonts w:hint="eastAsia" w:ascii="Times New Roman" w:hAnsi="Times New Roman" w:cs="Times New Roman"/>
                <w:szCs w:val="21"/>
              </w:rPr>
              <w:t>政府驻地</w:t>
            </w:r>
          </w:p>
        </w:tc>
      </w:tr>
      <w:tr w14:paraId="520E2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63" w:type="dxa"/>
            <w:vAlign w:val="center"/>
          </w:tcPr>
          <w:p w14:paraId="5A3C05E0">
            <w:pPr>
              <w:spacing w:line="360" w:lineRule="auto"/>
              <w:jc w:val="center"/>
              <w:rPr>
                <w:rFonts w:ascii="Times New Roman" w:hAnsi="Times New Roman" w:cs="Times New Roman"/>
                <w:szCs w:val="21"/>
              </w:rPr>
            </w:pPr>
            <w:r>
              <w:rPr>
                <w:rFonts w:hint="eastAsia" w:ascii="Times New Roman" w:hAnsi="Times New Roman" w:cs="Times New Roman"/>
                <w:szCs w:val="21"/>
              </w:rPr>
              <w:t>卡若区</w:t>
            </w:r>
          </w:p>
        </w:tc>
        <w:tc>
          <w:tcPr>
            <w:tcW w:w="6645" w:type="dxa"/>
            <w:vAlign w:val="center"/>
          </w:tcPr>
          <w:p w14:paraId="46061EC2">
            <w:pPr>
              <w:jc w:val="center"/>
              <w:rPr>
                <w:rFonts w:ascii="Times New Roman" w:hAnsi="Times New Roman" w:cs="Times New Roman"/>
                <w:szCs w:val="21"/>
              </w:rPr>
            </w:pPr>
            <w:r>
              <w:rPr>
                <w:rFonts w:ascii="Times New Roman" w:hAnsi="Times New Roman" w:cs="Times New Roman"/>
                <w:szCs w:val="21"/>
              </w:rPr>
              <w:t>城关镇、俄洛镇、卡若镇、芒达乡、约巴乡、妥坝乡、拉多乡、面达乡、嘎玛乡、柴维乡、日通乡、如意乡、埃西乡、若巴乡、沙贡乡</w:t>
            </w:r>
          </w:p>
        </w:tc>
        <w:tc>
          <w:tcPr>
            <w:tcW w:w="1159" w:type="dxa"/>
            <w:vAlign w:val="center"/>
          </w:tcPr>
          <w:p w14:paraId="1B67883B">
            <w:pPr>
              <w:spacing w:line="360" w:lineRule="auto"/>
              <w:jc w:val="center"/>
              <w:rPr>
                <w:rFonts w:ascii="Times New Roman" w:hAnsi="Times New Roman" w:cs="Times New Roman"/>
                <w:szCs w:val="21"/>
              </w:rPr>
            </w:pPr>
            <w:r>
              <w:rPr>
                <w:rFonts w:hint="eastAsia" w:ascii="宋体" w:hAnsi="宋体" w:eastAsia="宋体"/>
                <w:szCs w:val="21"/>
              </w:rPr>
              <w:t>城关镇</w:t>
            </w:r>
          </w:p>
        </w:tc>
      </w:tr>
      <w:tr w14:paraId="48140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18E59BBD">
            <w:pPr>
              <w:spacing w:line="360" w:lineRule="auto"/>
              <w:jc w:val="center"/>
              <w:rPr>
                <w:rFonts w:ascii="Times New Roman" w:hAnsi="Times New Roman" w:cs="Times New Roman"/>
                <w:szCs w:val="21"/>
              </w:rPr>
            </w:pPr>
            <w:r>
              <w:rPr>
                <w:rFonts w:hint="eastAsia" w:ascii="Times New Roman" w:hAnsi="Times New Roman" w:cs="Times New Roman"/>
                <w:szCs w:val="21"/>
              </w:rPr>
              <w:t>江达县</w:t>
            </w:r>
          </w:p>
        </w:tc>
        <w:tc>
          <w:tcPr>
            <w:tcW w:w="6645" w:type="dxa"/>
            <w:vAlign w:val="center"/>
          </w:tcPr>
          <w:p w14:paraId="6FF1C9F7">
            <w:pPr>
              <w:jc w:val="center"/>
              <w:rPr>
                <w:rFonts w:ascii="Times New Roman" w:hAnsi="Times New Roman" w:cs="Times New Roman"/>
                <w:szCs w:val="21"/>
              </w:rPr>
            </w:pPr>
            <w:r>
              <w:rPr>
                <w:rFonts w:hint="eastAsia" w:ascii="宋体" w:hAnsi="宋体" w:eastAsia="宋体"/>
                <w:szCs w:val="21"/>
              </w:rPr>
              <w:t>江达镇、岗托镇、卡贡乡、岩比乡、邓柯乡、生达乡、娘西乡、字嘎乡、青泥洞乡、汪布顶乡、德登乡、同普乡、波罗乡</w:t>
            </w:r>
          </w:p>
        </w:tc>
        <w:tc>
          <w:tcPr>
            <w:tcW w:w="1159" w:type="dxa"/>
            <w:vAlign w:val="center"/>
          </w:tcPr>
          <w:p w14:paraId="247BD135">
            <w:pPr>
              <w:spacing w:line="360" w:lineRule="auto"/>
              <w:jc w:val="center"/>
              <w:rPr>
                <w:rFonts w:ascii="Times New Roman" w:hAnsi="Times New Roman" w:cs="Times New Roman"/>
                <w:szCs w:val="21"/>
              </w:rPr>
            </w:pPr>
            <w:r>
              <w:rPr>
                <w:rFonts w:hint="eastAsia" w:ascii="宋体" w:hAnsi="宋体" w:eastAsia="宋体"/>
                <w:szCs w:val="21"/>
              </w:rPr>
              <w:t>江达镇</w:t>
            </w:r>
          </w:p>
        </w:tc>
      </w:tr>
      <w:tr w14:paraId="05AE3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7D720ABE">
            <w:pPr>
              <w:spacing w:line="360" w:lineRule="auto"/>
              <w:jc w:val="center"/>
              <w:rPr>
                <w:rFonts w:ascii="Times New Roman" w:hAnsi="Times New Roman" w:cs="Times New Roman"/>
                <w:szCs w:val="21"/>
              </w:rPr>
            </w:pPr>
            <w:r>
              <w:rPr>
                <w:rFonts w:hint="eastAsia" w:ascii="Times New Roman" w:hAnsi="Times New Roman" w:cs="Times New Roman"/>
                <w:szCs w:val="21"/>
              </w:rPr>
              <w:t>贡觉县</w:t>
            </w:r>
          </w:p>
        </w:tc>
        <w:tc>
          <w:tcPr>
            <w:tcW w:w="6645" w:type="dxa"/>
            <w:vAlign w:val="center"/>
          </w:tcPr>
          <w:p w14:paraId="7A4EAE42">
            <w:pPr>
              <w:jc w:val="center"/>
              <w:rPr>
                <w:rFonts w:ascii="Times New Roman" w:hAnsi="Times New Roman" w:cs="Times New Roman"/>
                <w:szCs w:val="21"/>
              </w:rPr>
            </w:pPr>
            <w:r>
              <w:rPr>
                <w:rFonts w:hint="eastAsia" w:ascii="宋体" w:hAnsi="宋体" w:eastAsia="宋体"/>
                <w:szCs w:val="21"/>
              </w:rPr>
              <w:t>莫洛镇、相皮乡、哈加乡、雄松乡、拉妥乡、阿旺乡、木协乡、罗麦乡、沙东乡、克日乡、则巴乡、敏都乡</w:t>
            </w:r>
          </w:p>
        </w:tc>
        <w:tc>
          <w:tcPr>
            <w:tcW w:w="1159" w:type="dxa"/>
            <w:vAlign w:val="center"/>
          </w:tcPr>
          <w:p w14:paraId="69885ED0">
            <w:pPr>
              <w:spacing w:line="360" w:lineRule="auto"/>
              <w:jc w:val="center"/>
              <w:rPr>
                <w:rFonts w:ascii="Times New Roman" w:hAnsi="Times New Roman" w:cs="Times New Roman"/>
                <w:szCs w:val="21"/>
              </w:rPr>
            </w:pPr>
            <w:r>
              <w:rPr>
                <w:rFonts w:hint="eastAsia" w:ascii="宋体" w:hAnsi="宋体" w:eastAsia="宋体"/>
                <w:szCs w:val="21"/>
              </w:rPr>
              <w:t>莫洛镇</w:t>
            </w:r>
          </w:p>
        </w:tc>
      </w:tr>
      <w:tr w14:paraId="07C93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151CB445">
            <w:pPr>
              <w:spacing w:line="360" w:lineRule="auto"/>
              <w:jc w:val="center"/>
              <w:rPr>
                <w:rFonts w:ascii="Times New Roman" w:hAnsi="Times New Roman" w:cs="Times New Roman"/>
                <w:szCs w:val="21"/>
              </w:rPr>
            </w:pPr>
            <w:r>
              <w:rPr>
                <w:rFonts w:hint="eastAsia" w:ascii="Times New Roman" w:hAnsi="Times New Roman" w:cs="Times New Roman"/>
                <w:szCs w:val="21"/>
              </w:rPr>
              <w:t>类乌齐县</w:t>
            </w:r>
          </w:p>
        </w:tc>
        <w:tc>
          <w:tcPr>
            <w:tcW w:w="6645" w:type="dxa"/>
            <w:vAlign w:val="center"/>
          </w:tcPr>
          <w:p w14:paraId="01F8E203">
            <w:pPr>
              <w:jc w:val="center"/>
              <w:rPr>
                <w:rFonts w:ascii="Times New Roman" w:hAnsi="Times New Roman" w:cs="Times New Roman"/>
                <w:szCs w:val="21"/>
              </w:rPr>
            </w:pPr>
            <w:r>
              <w:rPr>
                <w:rFonts w:hint="eastAsia" w:ascii="宋体" w:hAnsi="宋体" w:eastAsia="宋体"/>
                <w:szCs w:val="21"/>
              </w:rPr>
              <w:t>类乌齐镇、桑多镇、甲桑卡乡、长毛岭乡、岗色乡、吉多乡、宾达乡、卡玛多乡、尚卡乡、伊日乡</w:t>
            </w:r>
          </w:p>
        </w:tc>
        <w:tc>
          <w:tcPr>
            <w:tcW w:w="1159" w:type="dxa"/>
            <w:vAlign w:val="center"/>
          </w:tcPr>
          <w:p w14:paraId="40CB5546">
            <w:pPr>
              <w:spacing w:line="360" w:lineRule="auto"/>
              <w:jc w:val="center"/>
              <w:rPr>
                <w:rFonts w:ascii="Times New Roman" w:hAnsi="Times New Roman" w:cs="Times New Roman"/>
                <w:szCs w:val="21"/>
              </w:rPr>
            </w:pPr>
            <w:r>
              <w:rPr>
                <w:rFonts w:hint="eastAsia" w:ascii="宋体" w:hAnsi="宋体" w:eastAsia="宋体"/>
                <w:szCs w:val="21"/>
              </w:rPr>
              <w:t>桑多镇</w:t>
            </w:r>
          </w:p>
        </w:tc>
      </w:tr>
      <w:tr w14:paraId="0F1E4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33522B26">
            <w:pPr>
              <w:spacing w:line="360" w:lineRule="auto"/>
              <w:jc w:val="center"/>
              <w:rPr>
                <w:rFonts w:ascii="Times New Roman" w:hAnsi="Times New Roman" w:cs="Times New Roman"/>
                <w:szCs w:val="21"/>
              </w:rPr>
            </w:pPr>
            <w:r>
              <w:rPr>
                <w:rFonts w:hint="eastAsia" w:ascii="Times New Roman" w:hAnsi="Times New Roman" w:cs="Times New Roman"/>
                <w:szCs w:val="21"/>
              </w:rPr>
              <w:t>丁青县</w:t>
            </w:r>
          </w:p>
        </w:tc>
        <w:tc>
          <w:tcPr>
            <w:tcW w:w="6645" w:type="dxa"/>
            <w:vAlign w:val="center"/>
          </w:tcPr>
          <w:p w14:paraId="7F37BA23">
            <w:pPr>
              <w:jc w:val="center"/>
              <w:rPr>
                <w:rFonts w:ascii="Times New Roman" w:hAnsi="Times New Roman" w:cs="Times New Roman"/>
                <w:szCs w:val="21"/>
              </w:rPr>
            </w:pPr>
            <w:r>
              <w:rPr>
                <w:rFonts w:hint="eastAsia" w:ascii="宋体" w:hAnsi="宋体" w:eastAsia="宋体"/>
                <w:szCs w:val="21"/>
              </w:rPr>
              <w:t>丁青镇、尺犊镇、觉恩乡、沙贡乡、当堆乡、桑多乡、木塔乡、布塔乡、巴达乡、甘岩乡、嘎塔乡、色扎乡、协雄乡</w:t>
            </w:r>
          </w:p>
        </w:tc>
        <w:tc>
          <w:tcPr>
            <w:tcW w:w="1159" w:type="dxa"/>
            <w:vAlign w:val="center"/>
          </w:tcPr>
          <w:p w14:paraId="3C75C0AE">
            <w:pPr>
              <w:spacing w:line="360" w:lineRule="auto"/>
              <w:jc w:val="center"/>
              <w:rPr>
                <w:rFonts w:ascii="Times New Roman" w:hAnsi="Times New Roman" w:cs="Times New Roman"/>
                <w:szCs w:val="21"/>
              </w:rPr>
            </w:pPr>
            <w:r>
              <w:rPr>
                <w:rFonts w:hint="eastAsia" w:ascii="宋体" w:hAnsi="宋体" w:eastAsia="宋体"/>
                <w:szCs w:val="21"/>
              </w:rPr>
              <w:t>丁青镇</w:t>
            </w:r>
          </w:p>
        </w:tc>
      </w:tr>
      <w:tr w14:paraId="5692C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1363" w:type="dxa"/>
            <w:vAlign w:val="center"/>
          </w:tcPr>
          <w:p w14:paraId="617162FD">
            <w:pPr>
              <w:spacing w:line="360" w:lineRule="auto"/>
              <w:jc w:val="center"/>
              <w:rPr>
                <w:rFonts w:ascii="Times New Roman" w:hAnsi="Times New Roman" w:cs="Times New Roman"/>
                <w:szCs w:val="21"/>
              </w:rPr>
            </w:pPr>
            <w:r>
              <w:rPr>
                <w:rFonts w:hint="eastAsia" w:ascii="Times New Roman" w:hAnsi="Times New Roman" w:cs="Times New Roman"/>
                <w:szCs w:val="21"/>
              </w:rPr>
              <w:t>察雅县</w:t>
            </w:r>
          </w:p>
        </w:tc>
        <w:tc>
          <w:tcPr>
            <w:tcW w:w="6645" w:type="dxa"/>
            <w:vAlign w:val="center"/>
          </w:tcPr>
          <w:p w14:paraId="0CC82813">
            <w:pPr>
              <w:jc w:val="center"/>
              <w:rPr>
                <w:rFonts w:ascii="Times New Roman" w:hAnsi="Times New Roman" w:cs="Times New Roman"/>
                <w:szCs w:val="21"/>
              </w:rPr>
            </w:pPr>
            <w:r>
              <w:rPr>
                <w:rFonts w:hint="eastAsia" w:ascii="宋体" w:hAnsi="宋体" w:eastAsia="宋体"/>
                <w:szCs w:val="21"/>
              </w:rPr>
              <w:t>烟多镇、香堆镇、吉塘镇、宗沙乡、卡贡乡、荣周乡、巴日乡、阿孜乡、王卡乡、新卡乡、肯通乡、扩达乡、察拉乡</w:t>
            </w:r>
          </w:p>
        </w:tc>
        <w:tc>
          <w:tcPr>
            <w:tcW w:w="1159" w:type="dxa"/>
            <w:vAlign w:val="center"/>
          </w:tcPr>
          <w:p w14:paraId="0995A30B">
            <w:pPr>
              <w:spacing w:line="360" w:lineRule="auto"/>
              <w:jc w:val="center"/>
              <w:rPr>
                <w:rFonts w:ascii="Times New Roman" w:hAnsi="Times New Roman" w:cs="Times New Roman"/>
                <w:szCs w:val="21"/>
              </w:rPr>
            </w:pPr>
            <w:r>
              <w:rPr>
                <w:rFonts w:hint="eastAsia" w:ascii="宋体" w:hAnsi="宋体" w:eastAsia="宋体"/>
                <w:szCs w:val="21"/>
              </w:rPr>
              <w:t>烟多镇</w:t>
            </w:r>
          </w:p>
        </w:tc>
      </w:tr>
      <w:tr w14:paraId="5148C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450B903F">
            <w:pPr>
              <w:spacing w:line="360" w:lineRule="auto"/>
              <w:jc w:val="center"/>
              <w:rPr>
                <w:rFonts w:ascii="Times New Roman" w:hAnsi="Times New Roman" w:cs="Times New Roman"/>
                <w:szCs w:val="21"/>
              </w:rPr>
            </w:pPr>
            <w:r>
              <w:rPr>
                <w:rFonts w:hint="eastAsia" w:ascii="Times New Roman" w:hAnsi="Times New Roman" w:cs="Times New Roman"/>
                <w:szCs w:val="21"/>
              </w:rPr>
              <w:t>八宿县</w:t>
            </w:r>
          </w:p>
        </w:tc>
        <w:tc>
          <w:tcPr>
            <w:tcW w:w="6645" w:type="dxa"/>
            <w:vAlign w:val="center"/>
          </w:tcPr>
          <w:p w14:paraId="0D0A3BAB">
            <w:pPr>
              <w:jc w:val="center"/>
              <w:rPr>
                <w:rFonts w:ascii="Times New Roman" w:hAnsi="Times New Roman" w:cs="Times New Roman"/>
                <w:szCs w:val="21"/>
              </w:rPr>
            </w:pPr>
            <w:r>
              <w:rPr>
                <w:rFonts w:hint="eastAsia" w:ascii="宋体" w:hAnsi="宋体" w:eastAsia="宋体"/>
                <w:szCs w:val="21"/>
              </w:rPr>
              <w:t>白玛镇、邦达镇、然乌镇、同卡镇、郭庆乡、拉根乡、益庆乡、吉中乡、卡瓦白庆乡、吉达乡、夏里乡、拥巴乡、瓦乡、林卡乡</w:t>
            </w:r>
          </w:p>
        </w:tc>
        <w:tc>
          <w:tcPr>
            <w:tcW w:w="1159" w:type="dxa"/>
            <w:vAlign w:val="center"/>
          </w:tcPr>
          <w:p w14:paraId="37AAB382">
            <w:pPr>
              <w:spacing w:line="360" w:lineRule="auto"/>
              <w:jc w:val="center"/>
              <w:rPr>
                <w:rFonts w:ascii="Times New Roman" w:hAnsi="Times New Roman" w:cs="Times New Roman"/>
                <w:szCs w:val="21"/>
              </w:rPr>
            </w:pPr>
            <w:r>
              <w:rPr>
                <w:rFonts w:hint="eastAsia" w:ascii="宋体" w:hAnsi="宋体" w:eastAsia="宋体"/>
                <w:szCs w:val="21"/>
              </w:rPr>
              <w:t>白玛镇</w:t>
            </w:r>
          </w:p>
        </w:tc>
      </w:tr>
      <w:tr w14:paraId="57DCA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5A05F5C5">
            <w:pPr>
              <w:spacing w:line="360" w:lineRule="auto"/>
              <w:jc w:val="center"/>
              <w:rPr>
                <w:rFonts w:ascii="Times New Roman" w:hAnsi="Times New Roman" w:cs="Times New Roman"/>
                <w:szCs w:val="21"/>
              </w:rPr>
            </w:pPr>
            <w:r>
              <w:rPr>
                <w:rFonts w:hint="eastAsia" w:ascii="Times New Roman" w:hAnsi="Times New Roman" w:cs="Times New Roman"/>
                <w:szCs w:val="21"/>
              </w:rPr>
              <w:t>左贡县</w:t>
            </w:r>
          </w:p>
        </w:tc>
        <w:tc>
          <w:tcPr>
            <w:tcW w:w="6645" w:type="dxa"/>
            <w:vAlign w:val="center"/>
          </w:tcPr>
          <w:p w14:paraId="1A905FE2">
            <w:pPr>
              <w:jc w:val="center"/>
              <w:rPr>
                <w:rFonts w:ascii="Times New Roman" w:hAnsi="Times New Roman" w:cs="Times New Roman"/>
                <w:szCs w:val="21"/>
              </w:rPr>
            </w:pPr>
            <w:r>
              <w:rPr>
                <w:rFonts w:hint="eastAsia" w:ascii="宋体" w:hAnsi="宋体" w:eastAsia="宋体"/>
                <w:szCs w:val="21"/>
              </w:rPr>
              <w:t>旺达镇、田妥镇、扎玉镇、东坝乡、仁果乡、绕金乡、碧土乡、美玉乡、中林卡乡、下林卡乡</w:t>
            </w:r>
          </w:p>
        </w:tc>
        <w:tc>
          <w:tcPr>
            <w:tcW w:w="1159" w:type="dxa"/>
            <w:vAlign w:val="center"/>
          </w:tcPr>
          <w:p w14:paraId="7291D43A">
            <w:pPr>
              <w:spacing w:line="360" w:lineRule="auto"/>
              <w:jc w:val="center"/>
              <w:rPr>
                <w:rFonts w:ascii="Times New Roman" w:hAnsi="Times New Roman" w:cs="Times New Roman"/>
                <w:szCs w:val="21"/>
              </w:rPr>
            </w:pPr>
            <w:r>
              <w:rPr>
                <w:rFonts w:hint="eastAsia" w:ascii="宋体" w:hAnsi="宋体" w:eastAsia="宋体"/>
                <w:szCs w:val="21"/>
              </w:rPr>
              <w:t>旺达镇</w:t>
            </w:r>
          </w:p>
        </w:tc>
      </w:tr>
      <w:tr w14:paraId="3017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242A4308">
            <w:pPr>
              <w:spacing w:line="360" w:lineRule="auto"/>
              <w:jc w:val="center"/>
              <w:rPr>
                <w:rFonts w:ascii="Times New Roman" w:hAnsi="Times New Roman" w:cs="Times New Roman"/>
                <w:szCs w:val="21"/>
              </w:rPr>
            </w:pPr>
            <w:r>
              <w:rPr>
                <w:rFonts w:hint="eastAsia" w:ascii="Times New Roman" w:hAnsi="Times New Roman" w:cs="Times New Roman"/>
                <w:szCs w:val="21"/>
              </w:rPr>
              <w:t>芒康县</w:t>
            </w:r>
          </w:p>
        </w:tc>
        <w:tc>
          <w:tcPr>
            <w:tcW w:w="6645" w:type="dxa"/>
            <w:vAlign w:val="center"/>
          </w:tcPr>
          <w:p w14:paraId="19170832">
            <w:pPr>
              <w:jc w:val="center"/>
              <w:rPr>
                <w:rFonts w:ascii="Times New Roman" w:hAnsi="Times New Roman" w:cs="Times New Roman"/>
                <w:szCs w:val="21"/>
              </w:rPr>
            </w:pPr>
            <w:r>
              <w:rPr>
                <w:rFonts w:hint="eastAsia" w:ascii="宋体" w:hAnsi="宋体" w:eastAsia="宋体"/>
                <w:szCs w:val="21"/>
              </w:rPr>
              <w:t>嘎托镇、如美镇、索多西乡、莽岭乡、宗西乡、昂多乡、措瓦乡、洛尼乡、戈波乡、帮达乡、徐中乡、曲登乡、木许乡、纳西民族乡、竹巴龙乡、曲孜卡乡</w:t>
            </w:r>
          </w:p>
        </w:tc>
        <w:tc>
          <w:tcPr>
            <w:tcW w:w="1159" w:type="dxa"/>
            <w:vAlign w:val="center"/>
          </w:tcPr>
          <w:p w14:paraId="137F4868">
            <w:pPr>
              <w:spacing w:line="360" w:lineRule="auto"/>
              <w:jc w:val="center"/>
              <w:rPr>
                <w:rFonts w:ascii="Times New Roman" w:hAnsi="Times New Roman" w:cs="Times New Roman"/>
                <w:szCs w:val="21"/>
              </w:rPr>
            </w:pPr>
            <w:r>
              <w:rPr>
                <w:rFonts w:hint="eastAsia" w:ascii="宋体" w:hAnsi="宋体" w:eastAsia="宋体"/>
                <w:szCs w:val="21"/>
              </w:rPr>
              <w:t>嘎托镇</w:t>
            </w:r>
          </w:p>
        </w:tc>
      </w:tr>
      <w:tr w14:paraId="32C6F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7190AAC0">
            <w:pPr>
              <w:spacing w:line="360" w:lineRule="auto"/>
              <w:jc w:val="center"/>
              <w:rPr>
                <w:rFonts w:ascii="Times New Roman" w:hAnsi="Times New Roman" w:cs="Times New Roman"/>
                <w:szCs w:val="21"/>
              </w:rPr>
            </w:pPr>
            <w:r>
              <w:rPr>
                <w:rFonts w:hint="eastAsia" w:ascii="Times New Roman" w:hAnsi="Times New Roman" w:cs="Times New Roman"/>
                <w:szCs w:val="21"/>
              </w:rPr>
              <w:t>洛隆县</w:t>
            </w:r>
          </w:p>
        </w:tc>
        <w:tc>
          <w:tcPr>
            <w:tcW w:w="6645" w:type="dxa"/>
            <w:vAlign w:val="center"/>
          </w:tcPr>
          <w:p w14:paraId="07528713">
            <w:pPr>
              <w:jc w:val="center"/>
              <w:rPr>
                <w:rFonts w:ascii="Times New Roman" w:hAnsi="Times New Roman" w:cs="Times New Roman"/>
                <w:szCs w:val="21"/>
              </w:rPr>
            </w:pPr>
            <w:r>
              <w:rPr>
                <w:rFonts w:hint="eastAsia" w:ascii="宋体" w:hAnsi="宋体" w:eastAsia="宋体"/>
                <w:szCs w:val="21"/>
              </w:rPr>
              <w:t>孜托镇、硕督镇、康沙镇、马利镇、达龙乡、新荣乡、白达乡、玉西乡、腊久乡、俄西乡、中亦乡</w:t>
            </w:r>
          </w:p>
        </w:tc>
        <w:tc>
          <w:tcPr>
            <w:tcW w:w="1159" w:type="dxa"/>
            <w:vAlign w:val="center"/>
          </w:tcPr>
          <w:p w14:paraId="0EF050DF">
            <w:pPr>
              <w:spacing w:line="360" w:lineRule="auto"/>
              <w:jc w:val="center"/>
              <w:rPr>
                <w:rFonts w:ascii="Times New Roman" w:hAnsi="Times New Roman" w:cs="Times New Roman"/>
                <w:szCs w:val="21"/>
              </w:rPr>
            </w:pPr>
            <w:r>
              <w:rPr>
                <w:rFonts w:hint="eastAsia" w:ascii="宋体" w:hAnsi="宋体" w:eastAsia="宋体"/>
                <w:szCs w:val="21"/>
              </w:rPr>
              <w:t>孜托镇</w:t>
            </w:r>
          </w:p>
        </w:tc>
      </w:tr>
      <w:tr w14:paraId="1C1AD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vAlign w:val="center"/>
          </w:tcPr>
          <w:p w14:paraId="232D89DA">
            <w:pPr>
              <w:spacing w:line="360" w:lineRule="auto"/>
              <w:jc w:val="center"/>
              <w:rPr>
                <w:rFonts w:ascii="Times New Roman" w:hAnsi="Times New Roman" w:cs="Times New Roman"/>
                <w:szCs w:val="21"/>
              </w:rPr>
            </w:pPr>
            <w:r>
              <w:rPr>
                <w:rFonts w:hint="eastAsia" w:ascii="Times New Roman" w:hAnsi="Times New Roman" w:cs="Times New Roman"/>
                <w:szCs w:val="21"/>
              </w:rPr>
              <w:t>边坝县</w:t>
            </w:r>
          </w:p>
        </w:tc>
        <w:tc>
          <w:tcPr>
            <w:tcW w:w="6645" w:type="dxa"/>
            <w:vAlign w:val="center"/>
          </w:tcPr>
          <w:p w14:paraId="0477BA00">
            <w:pPr>
              <w:jc w:val="center"/>
              <w:rPr>
                <w:rFonts w:ascii="Times New Roman" w:hAnsi="Times New Roman" w:cs="Times New Roman"/>
                <w:szCs w:val="21"/>
              </w:rPr>
            </w:pPr>
            <w:r>
              <w:rPr>
                <w:rFonts w:hint="eastAsia" w:ascii="宋体" w:hAnsi="宋体" w:eastAsia="宋体"/>
                <w:szCs w:val="21"/>
              </w:rPr>
              <w:t>边坝镇、草卡镇、沙丁乡、金岭乡、加贡乡、马武乡、热玉乡、尼木乡、马秀乡、拉孜乡、都瓦乡</w:t>
            </w:r>
          </w:p>
        </w:tc>
        <w:tc>
          <w:tcPr>
            <w:tcW w:w="1159" w:type="dxa"/>
            <w:vAlign w:val="center"/>
          </w:tcPr>
          <w:p w14:paraId="76716206">
            <w:pPr>
              <w:spacing w:line="360" w:lineRule="auto"/>
              <w:jc w:val="center"/>
              <w:rPr>
                <w:rFonts w:ascii="Times New Roman" w:hAnsi="Times New Roman" w:cs="Times New Roman"/>
                <w:szCs w:val="21"/>
              </w:rPr>
            </w:pPr>
            <w:r>
              <w:rPr>
                <w:rFonts w:hint="eastAsia" w:ascii="宋体" w:hAnsi="宋体" w:eastAsia="宋体"/>
                <w:szCs w:val="21"/>
              </w:rPr>
              <w:t>草卡镇</w:t>
            </w:r>
          </w:p>
        </w:tc>
      </w:tr>
    </w:tbl>
    <w:p w14:paraId="057CC320">
      <w:pPr>
        <w:pStyle w:val="4"/>
        <w:numPr>
          <w:ilvl w:val="2"/>
          <w:numId w:val="2"/>
        </w:numPr>
        <w:spacing w:before="120" w:after="120" w:line="360" w:lineRule="auto"/>
        <w:rPr>
          <w:rStyle w:val="28"/>
          <w:color w:val="auto"/>
          <w:sz w:val="28"/>
          <w:szCs w:val="28"/>
          <w:u w:val="none"/>
        </w:rPr>
      </w:pPr>
      <w:bookmarkStart w:id="18" w:name="_Toc22910"/>
      <w:r>
        <w:rPr>
          <w:rStyle w:val="28"/>
          <w:rFonts w:hint="eastAsia"/>
          <w:color w:val="auto"/>
          <w:sz w:val="28"/>
          <w:szCs w:val="28"/>
          <w:u w:val="none"/>
        </w:rPr>
        <w:t>人口</w:t>
      </w:r>
      <w:bookmarkEnd w:id="18"/>
    </w:p>
    <w:p w14:paraId="445831C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截至2024年，昌都市常住人口数768998人，各县（区）常住人口分布如下表所示。</w:t>
      </w:r>
    </w:p>
    <w:p w14:paraId="4DF60F2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表2-2各县（区）常住人口分布</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1"/>
        <w:gridCol w:w="2291"/>
        <w:gridCol w:w="2293"/>
        <w:gridCol w:w="2292"/>
      </w:tblGrid>
      <w:tr w14:paraId="1698F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168C5DCD">
            <w:pPr>
              <w:jc w:val="center"/>
              <w:rPr>
                <w:rFonts w:ascii="Times New Roman" w:hAnsi="Times New Roman" w:cs="Times New Roman"/>
              </w:rPr>
            </w:pPr>
            <w:r>
              <w:rPr>
                <w:rFonts w:ascii="Times New Roman" w:hAnsi="Times New Roman" w:cs="Times New Roman"/>
              </w:rPr>
              <w:t>排名</w:t>
            </w:r>
          </w:p>
        </w:tc>
        <w:tc>
          <w:tcPr>
            <w:tcW w:w="2291" w:type="dxa"/>
          </w:tcPr>
          <w:p w14:paraId="280A557F">
            <w:pPr>
              <w:jc w:val="center"/>
              <w:rPr>
                <w:rFonts w:ascii="Times New Roman" w:hAnsi="Times New Roman" w:cs="Times New Roman"/>
              </w:rPr>
            </w:pPr>
            <w:r>
              <w:rPr>
                <w:rFonts w:ascii="Times New Roman" w:hAnsi="Times New Roman" w:cs="Times New Roman"/>
              </w:rPr>
              <w:t>县（区）名称</w:t>
            </w:r>
          </w:p>
        </w:tc>
        <w:tc>
          <w:tcPr>
            <w:tcW w:w="2293" w:type="dxa"/>
          </w:tcPr>
          <w:p w14:paraId="763D8130">
            <w:pPr>
              <w:jc w:val="center"/>
              <w:rPr>
                <w:rFonts w:ascii="Times New Roman" w:hAnsi="Times New Roman" w:cs="Times New Roman"/>
              </w:rPr>
            </w:pPr>
            <w:r>
              <w:rPr>
                <w:rFonts w:ascii="Times New Roman" w:hAnsi="Times New Roman" w:cs="Times New Roman"/>
              </w:rPr>
              <w:t>人口数（人）</w:t>
            </w:r>
          </w:p>
        </w:tc>
        <w:tc>
          <w:tcPr>
            <w:tcW w:w="2292" w:type="dxa"/>
          </w:tcPr>
          <w:p w14:paraId="71BE6DF9">
            <w:pPr>
              <w:jc w:val="center"/>
              <w:rPr>
                <w:rFonts w:ascii="Times New Roman" w:hAnsi="Times New Roman" w:cs="Times New Roman"/>
              </w:rPr>
            </w:pPr>
            <w:r>
              <w:rPr>
                <w:rFonts w:ascii="Times New Roman" w:hAnsi="Times New Roman" w:cs="Times New Roman"/>
              </w:rPr>
              <w:t>人口占比（%）</w:t>
            </w:r>
          </w:p>
        </w:tc>
      </w:tr>
      <w:tr w14:paraId="58881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2D65C6B0">
            <w:pPr>
              <w:jc w:val="center"/>
              <w:rPr>
                <w:rFonts w:ascii="Times New Roman" w:hAnsi="Times New Roman" w:cs="Times New Roman"/>
              </w:rPr>
            </w:pPr>
            <w:r>
              <w:rPr>
                <w:rFonts w:ascii="Times New Roman" w:hAnsi="Times New Roman" w:cs="Times New Roman"/>
              </w:rPr>
              <w:t>1</w:t>
            </w:r>
          </w:p>
        </w:tc>
        <w:tc>
          <w:tcPr>
            <w:tcW w:w="2291" w:type="dxa"/>
          </w:tcPr>
          <w:p w14:paraId="3068A3AB">
            <w:pPr>
              <w:jc w:val="center"/>
              <w:rPr>
                <w:rFonts w:ascii="Times New Roman" w:hAnsi="Times New Roman" w:cs="Times New Roman"/>
              </w:rPr>
            </w:pPr>
            <w:r>
              <w:rPr>
                <w:rFonts w:ascii="Times New Roman" w:hAnsi="Times New Roman" w:cs="Times New Roman"/>
              </w:rPr>
              <w:t>卡若区</w:t>
            </w:r>
          </w:p>
        </w:tc>
        <w:tc>
          <w:tcPr>
            <w:tcW w:w="2293" w:type="dxa"/>
          </w:tcPr>
          <w:p w14:paraId="2940A718">
            <w:pPr>
              <w:jc w:val="center"/>
              <w:rPr>
                <w:rFonts w:ascii="Times New Roman" w:hAnsi="Times New Roman" w:cs="Times New Roman"/>
              </w:rPr>
            </w:pPr>
            <w:r>
              <w:rPr>
                <w:rFonts w:ascii="Times New Roman" w:hAnsi="Times New Roman" w:cs="Times New Roman"/>
              </w:rPr>
              <w:t>151514</w:t>
            </w:r>
          </w:p>
        </w:tc>
        <w:tc>
          <w:tcPr>
            <w:tcW w:w="2292" w:type="dxa"/>
          </w:tcPr>
          <w:p w14:paraId="014B2FB8">
            <w:pPr>
              <w:jc w:val="center"/>
              <w:rPr>
                <w:rFonts w:ascii="Times New Roman" w:hAnsi="Times New Roman" w:cs="Times New Roman"/>
              </w:rPr>
            </w:pPr>
            <w:r>
              <w:rPr>
                <w:rFonts w:ascii="Times New Roman" w:hAnsi="Times New Roman" w:cs="Times New Roman"/>
              </w:rPr>
              <w:t>19.70</w:t>
            </w:r>
          </w:p>
        </w:tc>
      </w:tr>
      <w:tr w14:paraId="0F2C1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24E2306A">
            <w:pPr>
              <w:jc w:val="center"/>
              <w:rPr>
                <w:rFonts w:ascii="Times New Roman" w:hAnsi="Times New Roman" w:cs="Times New Roman"/>
              </w:rPr>
            </w:pPr>
            <w:r>
              <w:rPr>
                <w:rFonts w:ascii="Times New Roman" w:hAnsi="Times New Roman" w:cs="Times New Roman"/>
              </w:rPr>
              <w:t>2</w:t>
            </w:r>
          </w:p>
        </w:tc>
        <w:tc>
          <w:tcPr>
            <w:tcW w:w="2291" w:type="dxa"/>
          </w:tcPr>
          <w:p w14:paraId="75E5F0E7">
            <w:pPr>
              <w:jc w:val="center"/>
              <w:rPr>
                <w:rFonts w:ascii="Times New Roman" w:hAnsi="Times New Roman" w:cs="Times New Roman"/>
              </w:rPr>
            </w:pPr>
            <w:r>
              <w:rPr>
                <w:rFonts w:ascii="Times New Roman" w:hAnsi="Times New Roman" w:cs="Times New Roman"/>
              </w:rPr>
              <w:t>丁青县</w:t>
            </w:r>
          </w:p>
        </w:tc>
        <w:tc>
          <w:tcPr>
            <w:tcW w:w="2293" w:type="dxa"/>
          </w:tcPr>
          <w:p w14:paraId="077C4B31">
            <w:pPr>
              <w:jc w:val="center"/>
              <w:rPr>
                <w:rFonts w:ascii="Times New Roman" w:hAnsi="Times New Roman" w:cs="Times New Roman"/>
              </w:rPr>
            </w:pPr>
            <w:r>
              <w:rPr>
                <w:rFonts w:ascii="Times New Roman" w:hAnsi="Times New Roman" w:cs="Times New Roman"/>
              </w:rPr>
              <w:t>97074</w:t>
            </w:r>
          </w:p>
        </w:tc>
        <w:tc>
          <w:tcPr>
            <w:tcW w:w="2292" w:type="dxa"/>
          </w:tcPr>
          <w:p w14:paraId="6EF70CD0">
            <w:pPr>
              <w:jc w:val="center"/>
              <w:rPr>
                <w:rFonts w:ascii="Times New Roman" w:hAnsi="Times New Roman" w:cs="Times New Roman"/>
              </w:rPr>
            </w:pPr>
            <w:r>
              <w:rPr>
                <w:rFonts w:ascii="Times New Roman" w:hAnsi="Times New Roman" w:cs="Times New Roman"/>
              </w:rPr>
              <w:t>12.62</w:t>
            </w:r>
          </w:p>
        </w:tc>
      </w:tr>
      <w:tr w14:paraId="7C680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01971113">
            <w:pPr>
              <w:jc w:val="center"/>
              <w:rPr>
                <w:rFonts w:ascii="Times New Roman" w:hAnsi="Times New Roman" w:cs="Times New Roman"/>
              </w:rPr>
            </w:pPr>
            <w:r>
              <w:rPr>
                <w:rFonts w:ascii="Times New Roman" w:hAnsi="Times New Roman" w:cs="Times New Roman"/>
              </w:rPr>
              <w:t>3</w:t>
            </w:r>
          </w:p>
        </w:tc>
        <w:tc>
          <w:tcPr>
            <w:tcW w:w="2291" w:type="dxa"/>
          </w:tcPr>
          <w:p w14:paraId="4362FF2B">
            <w:pPr>
              <w:jc w:val="center"/>
              <w:rPr>
                <w:rFonts w:ascii="Times New Roman" w:hAnsi="Times New Roman" w:cs="Times New Roman"/>
              </w:rPr>
            </w:pPr>
            <w:r>
              <w:rPr>
                <w:rFonts w:ascii="Times New Roman" w:hAnsi="Times New Roman" w:cs="Times New Roman"/>
              </w:rPr>
              <w:t>江达县</w:t>
            </w:r>
          </w:p>
        </w:tc>
        <w:tc>
          <w:tcPr>
            <w:tcW w:w="2293" w:type="dxa"/>
          </w:tcPr>
          <w:p w14:paraId="329DA450">
            <w:pPr>
              <w:jc w:val="center"/>
              <w:rPr>
                <w:rFonts w:ascii="Times New Roman" w:hAnsi="Times New Roman" w:cs="Times New Roman"/>
              </w:rPr>
            </w:pPr>
            <w:r>
              <w:rPr>
                <w:rFonts w:ascii="Times New Roman" w:hAnsi="Times New Roman" w:cs="Times New Roman"/>
              </w:rPr>
              <w:t>92226</w:t>
            </w:r>
          </w:p>
        </w:tc>
        <w:tc>
          <w:tcPr>
            <w:tcW w:w="2292" w:type="dxa"/>
          </w:tcPr>
          <w:p w14:paraId="6F17B909">
            <w:pPr>
              <w:jc w:val="center"/>
              <w:rPr>
                <w:rFonts w:ascii="Times New Roman" w:hAnsi="Times New Roman" w:cs="Times New Roman"/>
              </w:rPr>
            </w:pPr>
            <w:r>
              <w:rPr>
                <w:rFonts w:ascii="Times New Roman" w:hAnsi="Times New Roman" w:cs="Times New Roman"/>
              </w:rPr>
              <w:t>11.99</w:t>
            </w:r>
          </w:p>
        </w:tc>
      </w:tr>
      <w:tr w14:paraId="6BBEB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020A4DAC">
            <w:pPr>
              <w:jc w:val="center"/>
              <w:rPr>
                <w:rFonts w:ascii="Times New Roman" w:hAnsi="Times New Roman" w:cs="Times New Roman"/>
              </w:rPr>
            </w:pPr>
            <w:r>
              <w:rPr>
                <w:rFonts w:ascii="Times New Roman" w:hAnsi="Times New Roman" w:cs="Times New Roman"/>
              </w:rPr>
              <w:t>4</w:t>
            </w:r>
          </w:p>
        </w:tc>
        <w:tc>
          <w:tcPr>
            <w:tcW w:w="2291" w:type="dxa"/>
          </w:tcPr>
          <w:p w14:paraId="370E5DDF">
            <w:pPr>
              <w:jc w:val="center"/>
              <w:rPr>
                <w:rFonts w:ascii="Times New Roman" w:hAnsi="Times New Roman" w:cs="Times New Roman"/>
              </w:rPr>
            </w:pPr>
            <w:r>
              <w:rPr>
                <w:rFonts w:ascii="Times New Roman" w:hAnsi="Times New Roman" w:cs="Times New Roman"/>
              </w:rPr>
              <w:t>芒康县</w:t>
            </w:r>
          </w:p>
        </w:tc>
        <w:tc>
          <w:tcPr>
            <w:tcW w:w="2293" w:type="dxa"/>
          </w:tcPr>
          <w:p w14:paraId="71633DEE">
            <w:pPr>
              <w:jc w:val="center"/>
              <w:rPr>
                <w:rFonts w:ascii="Times New Roman" w:hAnsi="Times New Roman" w:cs="Times New Roman"/>
              </w:rPr>
            </w:pPr>
            <w:r>
              <w:rPr>
                <w:rFonts w:ascii="Times New Roman" w:hAnsi="Times New Roman" w:cs="Times New Roman"/>
              </w:rPr>
              <w:t>88840</w:t>
            </w:r>
          </w:p>
        </w:tc>
        <w:tc>
          <w:tcPr>
            <w:tcW w:w="2292" w:type="dxa"/>
          </w:tcPr>
          <w:p w14:paraId="62E68F5D">
            <w:pPr>
              <w:jc w:val="center"/>
              <w:rPr>
                <w:rFonts w:ascii="Times New Roman" w:hAnsi="Times New Roman" w:cs="Times New Roman"/>
              </w:rPr>
            </w:pPr>
            <w:r>
              <w:rPr>
                <w:rFonts w:ascii="Times New Roman" w:hAnsi="Times New Roman" w:cs="Times New Roman"/>
              </w:rPr>
              <w:t>11.55</w:t>
            </w:r>
          </w:p>
        </w:tc>
      </w:tr>
      <w:tr w14:paraId="71F0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51B09D48">
            <w:pPr>
              <w:jc w:val="center"/>
              <w:rPr>
                <w:rFonts w:ascii="Times New Roman" w:hAnsi="Times New Roman" w:cs="Times New Roman"/>
              </w:rPr>
            </w:pPr>
            <w:r>
              <w:rPr>
                <w:rFonts w:ascii="Times New Roman" w:hAnsi="Times New Roman" w:cs="Times New Roman"/>
              </w:rPr>
              <w:t>5</w:t>
            </w:r>
          </w:p>
        </w:tc>
        <w:tc>
          <w:tcPr>
            <w:tcW w:w="2291" w:type="dxa"/>
          </w:tcPr>
          <w:p w14:paraId="0792A0C0">
            <w:pPr>
              <w:jc w:val="center"/>
              <w:rPr>
                <w:rFonts w:ascii="Times New Roman" w:hAnsi="Times New Roman" w:cs="Times New Roman"/>
              </w:rPr>
            </w:pPr>
            <w:r>
              <w:rPr>
                <w:rFonts w:ascii="Times New Roman" w:hAnsi="Times New Roman" w:cs="Times New Roman"/>
              </w:rPr>
              <w:t>类乌齐县</w:t>
            </w:r>
          </w:p>
        </w:tc>
        <w:tc>
          <w:tcPr>
            <w:tcW w:w="2293" w:type="dxa"/>
          </w:tcPr>
          <w:p w14:paraId="2AEC7726">
            <w:pPr>
              <w:jc w:val="center"/>
              <w:rPr>
                <w:rFonts w:ascii="Times New Roman" w:hAnsi="Times New Roman" w:cs="Times New Roman"/>
              </w:rPr>
            </w:pPr>
            <w:r>
              <w:rPr>
                <w:rFonts w:ascii="Times New Roman" w:hAnsi="Times New Roman" w:cs="Times New Roman"/>
              </w:rPr>
              <w:t>59055</w:t>
            </w:r>
          </w:p>
        </w:tc>
        <w:tc>
          <w:tcPr>
            <w:tcW w:w="2292" w:type="dxa"/>
          </w:tcPr>
          <w:p w14:paraId="3E2EA41D">
            <w:pPr>
              <w:jc w:val="center"/>
              <w:rPr>
                <w:rFonts w:ascii="Times New Roman" w:hAnsi="Times New Roman" w:cs="Times New Roman"/>
              </w:rPr>
            </w:pPr>
            <w:r>
              <w:rPr>
                <w:rFonts w:ascii="Times New Roman" w:hAnsi="Times New Roman" w:cs="Times New Roman"/>
              </w:rPr>
              <w:t>7.68</w:t>
            </w:r>
          </w:p>
        </w:tc>
      </w:tr>
      <w:tr w14:paraId="10689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461E7670">
            <w:pPr>
              <w:jc w:val="center"/>
              <w:rPr>
                <w:rFonts w:ascii="Times New Roman" w:hAnsi="Times New Roman" w:cs="Times New Roman"/>
              </w:rPr>
            </w:pPr>
            <w:r>
              <w:rPr>
                <w:rFonts w:ascii="Times New Roman" w:hAnsi="Times New Roman" w:cs="Times New Roman"/>
              </w:rPr>
              <w:t>6</w:t>
            </w:r>
          </w:p>
        </w:tc>
        <w:tc>
          <w:tcPr>
            <w:tcW w:w="2291" w:type="dxa"/>
          </w:tcPr>
          <w:p w14:paraId="73D1A637">
            <w:pPr>
              <w:jc w:val="center"/>
              <w:rPr>
                <w:rFonts w:ascii="Times New Roman" w:hAnsi="Times New Roman" w:cs="Times New Roman"/>
              </w:rPr>
            </w:pPr>
            <w:r>
              <w:rPr>
                <w:rFonts w:ascii="Times New Roman" w:hAnsi="Times New Roman" w:cs="Times New Roman"/>
              </w:rPr>
              <w:t>察雅县</w:t>
            </w:r>
          </w:p>
        </w:tc>
        <w:tc>
          <w:tcPr>
            <w:tcW w:w="2293" w:type="dxa"/>
          </w:tcPr>
          <w:p w14:paraId="3B326CBB">
            <w:pPr>
              <w:jc w:val="center"/>
              <w:rPr>
                <w:rFonts w:ascii="Times New Roman" w:hAnsi="Times New Roman" w:cs="Times New Roman"/>
              </w:rPr>
            </w:pPr>
            <w:r>
              <w:rPr>
                <w:rFonts w:ascii="Times New Roman" w:hAnsi="Times New Roman" w:cs="Times New Roman"/>
              </w:rPr>
              <w:t>50703</w:t>
            </w:r>
          </w:p>
        </w:tc>
        <w:tc>
          <w:tcPr>
            <w:tcW w:w="2292" w:type="dxa"/>
          </w:tcPr>
          <w:p w14:paraId="6E2E1D70">
            <w:pPr>
              <w:jc w:val="center"/>
              <w:rPr>
                <w:rFonts w:ascii="Times New Roman" w:hAnsi="Times New Roman" w:cs="Times New Roman"/>
              </w:rPr>
            </w:pPr>
            <w:r>
              <w:rPr>
                <w:rFonts w:ascii="Times New Roman" w:hAnsi="Times New Roman" w:cs="Times New Roman"/>
              </w:rPr>
              <w:t>6.59</w:t>
            </w:r>
          </w:p>
        </w:tc>
      </w:tr>
      <w:tr w14:paraId="1163E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72D3E412">
            <w:pPr>
              <w:jc w:val="center"/>
              <w:rPr>
                <w:rFonts w:ascii="Times New Roman" w:hAnsi="Times New Roman" w:cs="Times New Roman"/>
              </w:rPr>
            </w:pPr>
            <w:r>
              <w:rPr>
                <w:rFonts w:ascii="Times New Roman" w:hAnsi="Times New Roman" w:cs="Times New Roman"/>
              </w:rPr>
              <w:t>7</w:t>
            </w:r>
          </w:p>
        </w:tc>
        <w:tc>
          <w:tcPr>
            <w:tcW w:w="2291" w:type="dxa"/>
          </w:tcPr>
          <w:p w14:paraId="0941C3FE">
            <w:pPr>
              <w:jc w:val="center"/>
              <w:rPr>
                <w:rFonts w:ascii="Times New Roman" w:hAnsi="Times New Roman" w:cs="Times New Roman"/>
              </w:rPr>
            </w:pPr>
            <w:r>
              <w:rPr>
                <w:rFonts w:ascii="Times New Roman" w:hAnsi="Times New Roman" w:cs="Times New Roman"/>
              </w:rPr>
              <w:t>洛隆县</w:t>
            </w:r>
          </w:p>
        </w:tc>
        <w:tc>
          <w:tcPr>
            <w:tcW w:w="2293" w:type="dxa"/>
          </w:tcPr>
          <w:p w14:paraId="0A4AAD19">
            <w:pPr>
              <w:jc w:val="center"/>
              <w:rPr>
                <w:rFonts w:ascii="Times New Roman" w:hAnsi="Times New Roman" w:cs="Times New Roman"/>
              </w:rPr>
            </w:pPr>
            <w:r>
              <w:rPr>
                <w:rFonts w:ascii="Times New Roman" w:hAnsi="Times New Roman" w:cs="Times New Roman"/>
              </w:rPr>
              <w:t>56014</w:t>
            </w:r>
          </w:p>
        </w:tc>
        <w:tc>
          <w:tcPr>
            <w:tcW w:w="2292" w:type="dxa"/>
          </w:tcPr>
          <w:p w14:paraId="75888997">
            <w:pPr>
              <w:jc w:val="center"/>
              <w:rPr>
                <w:rFonts w:ascii="Times New Roman" w:hAnsi="Times New Roman" w:cs="Times New Roman"/>
              </w:rPr>
            </w:pPr>
            <w:r>
              <w:rPr>
                <w:rFonts w:ascii="Times New Roman" w:hAnsi="Times New Roman" w:cs="Times New Roman"/>
              </w:rPr>
              <w:t>7.28</w:t>
            </w:r>
          </w:p>
        </w:tc>
      </w:tr>
      <w:tr w14:paraId="49DEA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5E7B25B0">
            <w:pPr>
              <w:jc w:val="center"/>
              <w:rPr>
                <w:rFonts w:ascii="Times New Roman" w:hAnsi="Times New Roman" w:cs="Times New Roman"/>
              </w:rPr>
            </w:pPr>
            <w:r>
              <w:rPr>
                <w:rFonts w:ascii="Times New Roman" w:hAnsi="Times New Roman" w:cs="Times New Roman"/>
              </w:rPr>
              <w:t>8</w:t>
            </w:r>
          </w:p>
        </w:tc>
        <w:tc>
          <w:tcPr>
            <w:tcW w:w="2291" w:type="dxa"/>
          </w:tcPr>
          <w:p w14:paraId="4C6FCA2E">
            <w:pPr>
              <w:jc w:val="center"/>
              <w:rPr>
                <w:rFonts w:ascii="Times New Roman" w:hAnsi="Times New Roman" w:cs="Times New Roman"/>
              </w:rPr>
            </w:pPr>
            <w:r>
              <w:rPr>
                <w:rFonts w:ascii="Times New Roman" w:hAnsi="Times New Roman" w:cs="Times New Roman"/>
              </w:rPr>
              <w:t>左贡县</w:t>
            </w:r>
          </w:p>
        </w:tc>
        <w:tc>
          <w:tcPr>
            <w:tcW w:w="2293" w:type="dxa"/>
          </w:tcPr>
          <w:p w14:paraId="50228EF9">
            <w:pPr>
              <w:jc w:val="center"/>
              <w:rPr>
                <w:rFonts w:ascii="Times New Roman" w:hAnsi="Times New Roman" w:cs="Times New Roman"/>
              </w:rPr>
            </w:pPr>
            <w:r>
              <w:rPr>
                <w:rFonts w:ascii="Times New Roman" w:hAnsi="Times New Roman" w:cs="Times New Roman"/>
              </w:rPr>
              <w:t>47765</w:t>
            </w:r>
          </w:p>
        </w:tc>
        <w:tc>
          <w:tcPr>
            <w:tcW w:w="2292" w:type="dxa"/>
          </w:tcPr>
          <w:p w14:paraId="1C5B1BF4">
            <w:pPr>
              <w:jc w:val="center"/>
              <w:rPr>
                <w:rFonts w:ascii="Times New Roman" w:hAnsi="Times New Roman" w:cs="Times New Roman"/>
              </w:rPr>
            </w:pPr>
            <w:r>
              <w:rPr>
                <w:rFonts w:ascii="Times New Roman" w:hAnsi="Times New Roman" w:cs="Times New Roman"/>
              </w:rPr>
              <w:t>6.21</w:t>
            </w:r>
          </w:p>
        </w:tc>
      </w:tr>
      <w:tr w14:paraId="284A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3A7997F8">
            <w:pPr>
              <w:jc w:val="center"/>
              <w:rPr>
                <w:rFonts w:ascii="Times New Roman" w:hAnsi="Times New Roman" w:cs="Times New Roman"/>
              </w:rPr>
            </w:pPr>
            <w:r>
              <w:rPr>
                <w:rFonts w:ascii="Times New Roman" w:hAnsi="Times New Roman" w:cs="Times New Roman"/>
              </w:rPr>
              <w:t>9</w:t>
            </w:r>
          </w:p>
        </w:tc>
        <w:tc>
          <w:tcPr>
            <w:tcW w:w="2291" w:type="dxa"/>
          </w:tcPr>
          <w:p w14:paraId="4F828FD9">
            <w:pPr>
              <w:jc w:val="center"/>
              <w:rPr>
                <w:rFonts w:ascii="Times New Roman" w:hAnsi="Times New Roman" w:cs="Times New Roman"/>
              </w:rPr>
            </w:pPr>
            <w:r>
              <w:rPr>
                <w:rFonts w:ascii="Times New Roman" w:hAnsi="Times New Roman" w:cs="Times New Roman"/>
              </w:rPr>
              <w:t>八宿县</w:t>
            </w:r>
          </w:p>
        </w:tc>
        <w:tc>
          <w:tcPr>
            <w:tcW w:w="2293" w:type="dxa"/>
          </w:tcPr>
          <w:p w14:paraId="19905108">
            <w:pPr>
              <w:jc w:val="center"/>
              <w:rPr>
                <w:rFonts w:ascii="Times New Roman" w:hAnsi="Times New Roman" w:cs="Times New Roman"/>
              </w:rPr>
            </w:pPr>
            <w:r>
              <w:rPr>
                <w:rFonts w:ascii="Times New Roman" w:hAnsi="Times New Roman" w:cs="Times New Roman"/>
              </w:rPr>
              <w:t>43720</w:t>
            </w:r>
          </w:p>
        </w:tc>
        <w:tc>
          <w:tcPr>
            <w:tcW w:w="2292" w:type="dxa"/>
          </w:tcPr>
          <w:p w14:paraId="11D85D28">
            <w:pPr>
              <w:jc w:val="center"/>
              <w:rPr>
                <w:rFonts w:ascii="Times New Roman" w:hAnsi="Times New Roman" w:cs="Times New Roman"/>
              </w:rPr>
            </w:pPr>
            <w:r>
              <w:rPr>
                <w:rFonts w:ascii="Times New Roman" w:hAnsi="Times New Roman" w:cs="Times New Roman"/>
              </w:rPr>
              <w:t>5.69</w:t>
            </w:r>
          </w:p>
        </w:tc>
      </w:tr>
      <w:tr w14:paraId="1DC40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2591AD03">
            <w:pPr>
              <w:jc w:val="center"/>
              <w:rPr>
                <w:rFonts w:ascii="Times New Roman" w:hAnsi="Times New Roman" w:cs="Times New Roman"/>
              </w:rPr>
            </w:pPr>
            <w:r>
              <w:rPr>
                <w:rFonts w:ascii="Times New Roman" w:hAnsi="Times New Roman" w:cs="Times New Roman"/>
              </w:rPr>
              <w:t>10</w:t>
            </w:r>
          </w:p>
        </w:tc>
        <w:tc>
          <w:tcPr>
            <w:tcW w:w="2291" w:type="dxa"/>
          </w:tcPr>
          <w:p w14:paraId="269EE073">
            <w:pPr>
              <w:jc w:val="center"/>
              <w:rPr>
                <w:rFonts w:ascii="Times New Roman" w:hAnsi="Times New Roman" w:cs="Times New Roman"/>
              </w:rPr>
            </w:pPr>
            <w:r>
              <w:rPr>
                <w:rFonts w:ascii="Times New Roman" w:hAnsi="Times New Roman" w:cs="Times New Roman"/>
              </w:rPr>
              <w:t>边坝县</w:t>
            </w:r>
          </w:p>
        </w:tc>
        <w:tc>
          <w:tcPr>
            <w:tcW w:w="2293" w:type="dxa"/>
          </w:tcPr>
          <w:p w14:paraId="3149E74F">
            <w:pPr>
              <w:jc w:val="center"/>
              <w:rPr>
                <w:rFonts w:ascii="Times New Roman" w:hAnsi="Times New Roman" w:cs="Times New Roman"/>
              </w:rPr>
            </w:pPr>
            <w:r>
              <w:rPr>
                <w:rFonts w:ascii="Times New Roman" w:hAnsi="Times New Roman" w:cs="Times New Roman"/>
              </w:rPr>
              <w:t>43397</w:t>
            </w:r>
          </w:p>
        </w:tc>
        <w:tc>
          <w:tcPr>
            <w:tcW w:w="2292" w:type="dxa"/>
          </w:tcPr>
          <w:p w14:paraId="5D5B07B3">
            <w:pPr>
              <w:jc w:val="center"/>
              <w:rPr>
                <w:rFonts w:ascii="Times New Roman" w:hAnsi="Times New Roman" w:cs="Times New Roman"/>
              </w:rPr>
            </w:pPr>
            <w:r>
              <w:rPr>
                <w:rFonts w:ascii="Times New Roman" w:hAnsi="Times New Roman" w:cs="Times New Roman"/>
              </w:rPr>
              <w:t>5.64</w:t>
            </w:r>
          </w:p>
        </w:tc>
      </w:tr>
      <w:tr w14:paraId="4C7F3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34ACB194">
            <w:pPr>
              <w:jc w:val="center"/>
              <w:rPr>
                <w:rFonts w:ascii="Times New Roman" w:hAnsi="Times New Roman" w:cs="Times New Roman"/>
              </w:rPr>
            </w:pPr>
            <w:r>
              <w:rPr>
                <w:rFonts w:ascii="Times New Roman" w:hAnsi="Times New Roman" w:cs="Times New Roman"/>
              </w:rPr>
              <w:t>11</w:t>
            </w:r>
          </w:p>
        </w:tc>
        <w:tc>
          <w:tcPr>
            <w:tcW w:w="2291" w:type="dxa"/>
          </w:tcPr>
          <w:p w14:paraId="25F9A421">
            <w:pPr>
              <w:jc w:val="center"/>
              <w:rPr>
                <w:rFonts w:ascii="Times New Roman" w:hAnsi="Times New Roman" w:cs="Times New Roman"/>
              </w:rPr>
            </w:pPr>
            <w:r>
              <w:rPr>
                <w:rFonts w:ascii="Times New Roman" w:hAnsi="Times New Roman" w:cs="Times New Roman"/>
              </w:rPr>
              <w:t>贡觉县</w:t>
            </w:r>
          </w:p>
        </w:tc>
        <w:tc>
          <w:tcPr>
            <w:tcW w:w="2293" w:type="dxa"/>
          </w:tcPr>
          <w:p w14:paraId="5FCF81E0">
            <w:pPr>
              <w:jc w:val="center"/>
              <w:rPr>
                <w:rFonts w:ascii="Times New Roman" w:hAnsi="Times New Roman" w:cs="Times New Roman"/>
              </w:rPr>
            </w:pPr>
            <w:r>
              <w:rPr>
                <w:rFonts w:ascii="Times New Roman" w:hAnsi="Times New Roman" w:cs="Times New Roman"/>
              </w:rPr>
              <w:t>38690</w:t>
            </w:r>
          </w:p>
        </w:tc>
        <w:tc>
          <w:tcPr>
            <w:tcW w:w="2292" w:type="dxa"/>
          </w:tcPr>
          <w:p w14:paraId="4184E7F3">
            <w:pPr>
              <w:jc w:val="center"/>
              <w:rPr>
                <w:rFonts w:ascii="Times New Roman" w:hAnsi="Times New Roman" w:cs="Times New Roman"/>
              </w:rPr>
            </w:pPr>
            <w:r>
              <w:rPr>
                <w:rFonts w:ascii="Times New Roman" w:hAnsi="Times New Roman" w:cs="Times New Roman"/>
              </w:rPr>
              <w:t>5.03</w:t>
            </w:r>
          </w:p>
        </w:tc>
      </w:tr>
      <w:tr w14:paraId="3B92F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1" w:type="dxa"/>
          </w:tcPr>
          <w:p w14:paraId="0ECE2028">
            <w:pPr>
              <w:jc w:val="center"/>
              <w:rPr>
                <w:rFonts w:ascii="Times New Roman" w:hAnsi="Times New Roman" w:cs="Times New Roman"/>
              </w:rPr>
            </w:pPr>
            <w:r>
              <w:rPr>
                <w:rFonts w:ascii="Times New Roman" w:hAnsi="Times New Roman" w:cs="Times New Roman"/>
              </w:rPr>
              <w:t>合计</w:t>
            </w:r>
          </w:p>
        </w:tc>
        <w:tc>
          <w:tcPr>
            <w:tcW w:w="2291" w:type="dxa"/>
          </w:tcPr>
          <w:p w14:paraId="5505AD20">
            <w:pPr>
              <w:jc w:val="center"/>
              <w:rPr>
                <w:rFonts w:ascii="Times New Roman" w:hAnsi="Times New Roman" w:cs="Times New Roman"/>
              </w:rPr>
            </w:pPr>
            <w:r>
              <w:rPr>
                <w:rFonts w:ascii="Times New Roman" w:hAnsi="Times New Roman" w:cs="Times New Roman"/>
              </w:rPr>
              <w:t>昌都市</w:t>
            </w:r>
          </w:p>
        </w:tc>
        <w:tc>
          <w:tcPr>
            <w:tcW w:w="2293" w:type="dxa"/>
          </w:tcPr>
          <w:p w14:paraId="7F5B2E5C">
            <w:pPr>
              <w:jc w:val="center"/>
              <w:rPr>
                <w:rFonts w:ascii="Times New Roman" w:hAnsi="Times New Roman" w:cs="Times New Roman"/>
              </w:rPr>
            </w:pPr>
            <w:r>
              <w:rPr>
                <w:rFonts w:ascii="Times New Roman" w:hAnsi="Times New Roman" w:cs="Times New Roman"/>
              </w:rPr>
              <w:t>768998</w:t>
            </w:r>
          </w:p>
        </w:tc>
        <w:tc>
          <w:tcPr>
            <w:tcW w:w="2292" w:type="dxa"/>
          </w:tcPr>
          <w:p w14:paraId="3E3E1C16">
            <w:pPr>
              <w:jc w:val="center"/>
              <w:rPr>
                <w:rFonts w:ascii="Times New Roman" w:hAnsi="Times New Roman" w:cs="Times New Roman"/>
              </w:rPr>
            </w:pPr>
            <w:r>
              <w:rPr>
                <w:rFonts w:ascii="Times New Roman" w:hAnsi="Times New Roman" w:cs="Times New Roman"/>
              </w:rPr>
              <w:t>100</w:t>
            </w:r>
          </w:p>
        </w:tc>
      </w:tr>
    </w:tbl>
    <w:p w14:paraId="43D25013">
      <w:pPr>
        <w:jc w:val="center"/>
      </w:pPr>
    </w:p>
    <w:p w14:paraId="5E41B99A">
      <w:pPr>
        <w:pStyle w:val="4"/>
        <w:numPr>
          <w:ilvl w:val="2"/>
          <w:numId w:val="2"/>
        </w:numPr>
        <w:spacing w:before="120" w:after="120" w:line="360" w:lineRule="auto"/>
        <w:rPr>
          <w:rStyle w:val="28"/>
          <w:color w:val="auto"/>
          <w:sz w:val="28"/>
          <w:szCs w:val="28"/>
          <w:u w:val="none"/>
        </w:rPr>
      </w:pPr>
      <w:bookmarkStart w:id="19" w:name="_Toc3288"/>
      <w:r>
        <w:rPr>
          <w:rStyle w:val="28"/>
          <w:rFonts w:hint="eastAsia"/>
          <w:color w:val="auto"/>
          <w:sz w:val="28"/>
          <w:szCs w:val="28"/>
          <w:u w:val="none"/>
        </w:rPr>
        <w:t>交通条件</w:t>
      </w:r>
      <w:bookmarkEnd w:id="19"/>
    </w:p>
    <w:p w14:paraId="5657BBC6">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昌都市处于西藏与四川、云南交通联系的枢纽地带，是西藏联系内地的重要交通通道，被誉为“西藏东大门”。</w:t>
      </w:r>
      <w:r>
        <w:rPr>
          <w:rFonts w:ascii="Times New Roman" w:hAnsi="Times New Roman" w:cs="Times New Roman"/>
          <w:sz w:val="24"/>
          <w:szCs w:val="24"/>
        </w:rPr>
        <w:t>昌都市国道7条</w:t>
      </w:r>
      <w:r>
        <w:rPr>
          <w:rFonts w:hint="eastAsia" w:ascii="Times New Roman" w:hAnsi="Times New Roman" w:cs="Times New Roman"/>
          <w:sz w:val="24"/>
          <w:szCs w:val="24"/>
        </w:rPr>
        <w:t>（</w:t>
      </w:r>
      <w:r>
        <w:rPr>
          <w:rFonts w:ascii="Times New Roman" w:hAnsi="Times New Roman" w:cs="Times New Roman"/>
          <w:sz w:val="24"/>
          <w:szCs w:val="24"/>
        </w:rPr>
        <w:t>G317、318、214、349、557、558、701</w:t>
      </w:r>
      <w:r>
        <w:rPr>
          <w:rFonts w:hint="eastAsia" w:ascii="Times New Roman" w:hAnsi="Times New Roman" w:cs="Times New Roman"/>
          <w:sz w:val="24"/>
          <w:szCs w:val="24"/>
        </w:rPr>
        <w:t>）</w:t>
      </w:r>
      <w:r>
        <w:rPr>
          <w:rFonts w:ascii="Times New Roman" w:hAnsi="Times New Roman" w:cs="Times New Roman"/>
          <w:sz w:val="24"/>
          <w:szCs w:val="24"/>
        </w:rPr>
        <w:t>，省道10条</w:t>
      </w:r>
      <w:r>
        <w:rPr>
          <w:rFonts w:hint="eastAsia" w:ascii="Times New Roman" w:hAnsi="Times New Roman" w:cs="Times New Roman"/>
          <w:sz w:val="24"/>
          <w:szCs w:val="24"/>
        </w:rPr>
        <w:t>（</w:t>
      </w:r>
      <w:r>
        <w:rPr>
          <w:rFonts w:ascii="Times New Roman" w:hAnsi="Times New Roman" w:cs="Times New Roman"/>
          <w:sz w:val="24"/>
          <w:szCs w:val="24"/>
        </w:rPr>
        <w:t>S201、202、203、204、301、302、303、501、502、503</w:t>
      </w:r>
      <w:r>
        <w:rPr>
          <w:rFonts w:hint="eastAsia" w:ascii="Times New Roman" w:hAnsi="Times New Roman" w:cs="Times New Roman"/>
          <w:sz w:val="24"/>
          <w:szCs w:val="24"/>
        </w:rPr>
        <w:t>）</w:t>
      </w:r>
      <w:r>
        <w:rPr>
          <w:rFonts w:ascii="Times New Roman" w:hAnsi="Times New Roman" w:cs="Times New Roman"/>
          <w:sz w:val="24"/>
          <w:szCs w:val="24"/>
        </w:rPr>
        <w:t>。截止2024年底，昌都市公路通车总里程20239.982公里，其中：国道2242.505公里</w:t>
      </w:r>
      <w:r>
        <w:rPr>
          <w:rFonts w:hint="eastAsia" w:ascii="Times New Roman" w:hAnsi="Times New Roman" w:cs="Times New Roman"/>
          <w:sz w:val="24"/>
          <w:szCs w:val="24"/>
        </w:rPr>
        <w:t>（</w:t>
      </w:r>
      <w:r>
        <w:rPr>
          <w:rFonts w:ascii="Times New Roman" w:hAnsi="Times New Roman" w:cs="Times New Roman"/>
          <w:sz w:val="24"/>
          <w:szCs w:val="24"/>
        </w:rPr>
        <w:t>昌都公路分局管养1708.655公里，武警交通三支队管养533.85公里</w:t>
      </w:r>
      <w:r>
        <w:rPr>
          <w:rFonts w:hint="eastAsia" w:ascii="Times New Roman" w:hAnsi="Times New Roman" w:cs="Times New Roman"/>
          <w:sz w:val="24"/>
          <w:szCs w:val="24"/>
        </w:rPr>
        <w:t>）；</w:t>
      </w:r>
      <w:r>
        <w:rPr>
          <w:rFonts w:ascii="Times New Roman" w:hAnsi="Times New Roman" w:cs="Times New Roman"/>
          <w:sz w:val="24"/>
          <w:szCs w:val="24"/>
        </w:rPr>
        <w:t>省道2376.71公里</w:t>
      </w:r>
      <w:r>
        <w:rPr>
          <w:rFonts w:hint="eastAsia" w:ascii="Times New Roman" w:hAnsi="Times New Roman" w:cs="Times New Roman"/>
          <w:sz w:val="24"/>
          <w:szCs w:val="24"/>
        </w:rPr>
        <w:t>；</w:t>
      </w:r>
      <w:r>
        <w:rPr>
          <w:rFonts w:ascii="Times New Roman" w:hAnsi="Times New Roman" w:cs="Times New Roman"/>
          <w:sz w:val="24"/>
          <w:szCs w:val="24"/>
        </w:rPr>
        <w:t>农村公路里程15620.767公里</w:t>
      </w:r>
      <w:r>
        <w:rPr>
          <w:rFonts w:hint="eastAsia" w:ascii="Times New Roman" w:hAnsi="Times New Roman" w:cs="Times New Roman"/>
          <w:sz w:val="24"/>
          <w:szCs w:val="24"/>
        </w:rPr>
        <w:t>（</w:t>
      </w:r>
      <w:r>
        <w:rPr>
          <w:rFonts w:ascii="Times New Roman" w:hAnsi="Times New Roman" w:cs="Times New Roman"/>
          <w:sz w:val="24"/>
          <w:szCs w:val="24"/>
        </w:rPr>
        <w:t>县道2827.521公里，乡道2446.515公里，专用公路2653.71公里，村道7693.021公里</w:t>
      </w:r>
      <w:r>
        <w:rPr>
          <w:rFonts w:hint="eastAsia" w:ascii="Times New Roman" w:hAnsi="Times New Roman" w:cs="Times New Roman"/>
          <w:sz w:val="24"/>
          <w:szCs w:val="24"/>
        </w:rPr>
        <w:t>）</w:t>
      </w:r>
      <w:r>
        <w:rPr>
          <w:rFonts w:ascii="Times New Roman" w:hAnsi="Times New Roman" w:cs="Times New Roman"/>
          <w:sz w:val="24"/>
          <w:szCs w:val="24"/>
        </w:rPr>
        <w:t>。全市黑色路面沥青5866.947公里</w:t>
      </w:r>
      <w:r>
        <w:rPr>
          <w:rFonts w:hint="eastAsia" w:ascii="Times New Roman" w:hAnsi="Times New Roman" w:cs="Times New Roman"/>
          <w:sz w:val="24"/>
          <w:szCs w:val="24"/>
        </w:rPr>
        <w:t>（</w:t>
      </w:r>
      <w:r>
        <w:rPr>
          <w:rFonts w:ascii="Times New Roman" w:hAnsi="Times New Roman" w:cs="Times New Roman"/>
          <w:sz w:val="24"/>
          <w:szCs w:val="24"/>
        </w:rPr>
        <w:t>其中</w:t>
      </w:r>
      <w:r>
        <w:rPr>
          <w:rFonts w:hint="eastAsia" w:ascii="Times New Roman" w:hAnsi="Times New Roman" w:cs="Times New Roman"/>
          <w:sz w:val="24"/>
          <w:szCs w:val="24"/>
        </w:rPr>
        <w:t>昌都市交通运输局</w:t>
      </w:r>
      <w:r>
        <w:rPr>
          <w:rFonts w:ascii="Times New Roman" w:hAnsi="Times New Roman" w:cs="Times New Roman"/>
          <w:sz w:val="24"/>
          <w:szCs w:val="24"/>
        </w:rPr>
        <w:t>管养农村公路1788.497公里</w:t>
      </w:r>
      <w:r>
        <w:rPr>
          <w:rFonts w:hint="eastAsia" w:ascii="Times New Roman" w:hAnsi="Times New Roman" w:cs="Times New Roman"/>
          <w:sz w:val="24"/>
          <w:szCs w:val="24"/>
        </w:rPr>
        <w:t>，</w:t>
      </w:r>
      <w:r>
        <w:rPr>
          <w:rFonts w:ascii="Times New Roman" w:hAnsi="Times New Roman" w:cs="Times New Roman"/>
          <w:sz w:val="24"/>
          <w:szCs w:val="24"/>
        </w:rPr>
        <w:t>武警三支队管养533.85公里，昌都公路分局管养3544.6公里</w:t>
      </w:r>
      <w:r>
        <w:rPr>
          <w:rFonts w:hint="eastAsia" w:ascii="Times New Roman" w:hAnsi="Times New Roman" w:cs="Times New Roman"/>
          <w:sz w:val="24"/>
          <w:szCs w:val="24"/>
        </w:rPr>
        <w:t>）</w:t>
      </w:r>
      <w:r>
        <w:rPr>
          <w:rFonts w:ascii="Times New Roman" w:hAnsi="Times New Roman" w:cs="Times New Roman"/>
          <w:sz w:val="24"/>
          <w:szCs w:val="24"/>
        </w:rPr>
        <w:t>。</w:t>
      </w:r>
    </w:p>
    <w:p w14:paraId="26D9CC39">
      <w:pPr>
        <w:spacing w:line="360" w:lineRule="auto"/>
        <w:rPr>
          <w:rFonts w:ascii="Times New Roman" w:hAnsi="Times New Roman" w:cs="Times New Roman"/>
          <w:sz w:val="24"/>
          <w:szCs w:val="24"/>
        </w:rPr>
      </w:pPr>
      <w:r>
        <w:drawing>
          <wp:inline distT="0" distB="0" distL="114300" distR="114300">
            <wp:extent cx="5678805" cy="3872865"/>
            <wp:effectExtent l="0" t="0" r="17145" b="13335"/>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12" cstate="print"/>
                    <a:stretch>
                      <a:fillRect/>
                    </a:stretch>
                  </pic:blipFill>
                  <pic:spPr>
                    <a:xfrm>
                      <a:off x="0" y="0"/>
                      <a:ext cx="5678805" cy="3872865"/>
                    </a:xfrm>
                    <a:prstGeom prst="rect">
                      <a:avLst/>
                    </a:prstGeom>
                    <a:noFill/>
                    <a:ln>
                      <a:noFill/>
                    </a:ln>
                  </pic:spPr>
                </pic:pic>
              </a:graphicData>
            </a:graphic>
          </wp:inline>
        </w:drawing>
      </w:r>
    </w:p>
    <w:p w14:paraId="6DBA89E6">
      <w:pPr>
        <w:spacing w:line="360" w:lineRule="auto"/>
        <w:jc w:val="center"/>
        <w:rPr>
          <w:rFonts w:eastAsia="黑体"/>
        </w:rPr>
      </w:pPr>
      <w:r>
        <w:rPr>
          <w:rFonts w:hint="eastAsia" w:ascii="Times New Roman" w:hAnsi="Times New Roman" w:eastAsia="黑体" w:cs="Times New Roman"/>
          <w:sz w:val="24"/>
          <w:szCs w:val="21"/>
        </w:rPr>
        <w:t>图2-3昌都市交通分布图</w:t>
      </w:r>
    </w:p>
    <w:p w14:paraId="76532DB1">
      <w:pPr>
        <w:pStyle w:val="4"/>
        <w:numPr>
          <w:ilvl w:val="2"/>
          <w:numId w:val="2"/>
        </w:numPr>
        <w:spacing w:before="120" w:after="120" w:line="360" w:lineRule="auto"/>
        <w:rPr>
          <w:rStyle w:val="28"/>
          <w:color w:val="auto"/>
          <w:sz w:val="28"/>
          <w:szCs w:val="28"/>
          <w:u w:val="none"/>
        </w:rPr>
      </w:pPr>
      <w:bookmarkStart w:id="20" w:name="_Toc20389"/>
      <w:r>
        <w:rPr>
          <w:rStyle w:val="28"/>
          <w:rFonts w:hint="eastAsia"/>
          <w:color w:val="auto"/>
          <w:sz w:val="28"/>
          <w:szCs w:val="28"/>
          <w:u w:val="none"/>
        </w:rPr>
        <w:t>经济条件</w:t>
      </w:r>
      <w:bookmarkEnd w:id="20"/>
    </w:p>
    <w:p w14:paraId="09B2453F">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w:t>
      </w:r>
      <w:r>
        <w:rPr>
          <w:rFonts w:hint="eastAsia" w:ascii="Times New Roman" w:hAnsi="Times New Roman" w:cs="Times New Roman"/>
          <w:sz w:val="24"/>
          <w:szCs w:val="24"/>
        </w:rPr>
        <w:t>2024年昌都市国民经济和社会发展统计公报</w:t>
      </w:r>
      <w:r>
        <w:rPr>
          <w:rFonts w:ascii="Times New Roman" w:hAnsi="Times New Roman" w:cs="Times New Roman"/>
          <w:sz w:val="24"/>
          <w:szCs w:val="24"/>
        </w:rPr>
        <w:t>》，</w:t>
      </w:r>
      <w:r>
        <w:rPr>
          <w:rFonts w:hint="eastAsia" w:ascii="Times New Roman" w:hAnsi="Times New Roman" w:cs="Times New Roman"/>
          <w:sz w:val="24"/>
          <w:szCs w:val="24"/>
        </w:rPr>
        <w:t>2024年全市实现地区生产总值386.01亿元，同比增长6.4%。其中，农林牧渔业总产值77.64亿元，同比增长12.5%，年末牲畜存栏总数（含马、驴、骡）为253.23万头（只、匹），比上年末增加0.3万头（只、匹）；工业总产值151.42亿元，同比增长26.9%；固定资产投资同比增长21.2%；社会消费品零售总额95.74亿元，同比增长6.9%；地方一般公共预算收入完成32.07亿元；农村居民人均可支配性收入19441元，同比增长8.4%；城镇居民人均可支配性收入48242元，同比增长6.8％，全市城镇新增就业7633人，开发就业岗位1.7万个，农牧区富余劳动力转移就业13.06万人，开展农牧民技能培训人数2.07万人，城镇登记失业率控制在5%以内；2024年昌都市居民消费价格较去年下降0.1%。</w:t>
      </w:r>
    </w:p>
    <w:p w14:paraId="03BDF566">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21" w:name="_Toc20060"/>
      <w:r>
        <w:rPr>
          <w:rStyle w:val="28"/>
          <w:rFonts w:ascii="Times New Roman" w:hAnsi="Times New Roman"/>
          <w:bCs/>
          <w:color w:val="auto"/>
          <w:kern w:val="2"/>
          <w:sz w:val="32"/>
          <w:szCs w:val="32"/>
          <w:u w:val="none"/>
        </w:rPr>
        <w:t>文化旅游概况</w:t>
      </w:r>
      <w:bookmarkEnd w:id="21"/>
    </w:p>
    <w:p w14:paraId="0A7C393C">
      <w:pPr>
        <w:spacing w:line="360" w:lineRule="auto"/>
        <w:ind w:firstLine="480" w:firstLineChars="200"/>
        <w:jc w:val="left"/>
        <w:rPr>
          <w:rFonts w:ascii="Times New Roman" w:cs="Times New Roman" w:hAnsiTheme="minorEastAsia"/>
          <w:sz w:val="24"/>
          <w:szCs w:val="24"/>
        </w:rPr>
      </w:pPr>
      <w:r>
        <w:rPr>
          <w:rFonts w:hint="eastAsia" w:ascii="Times New Roman" w:cs="Times New Roman" w:hAnsiTheme="minorEastAsia"/>
          <w:sz w:val="24"/>
          <w:szCs w:val="24"/>
        </w:rPr>
        <w:t>昌都市坐落于西藏东部，横断山脉纵贯其间，金沙江、澜沧江、怒江在此奔腾并流，形成“三江并流”的雄奇地貌，作为连接藏、川、滇、青四省区的地理枢纽与茶马古道核心集散地，其文化旅游发展既承载着青藏高原5000年文明积淀，又镌刻着西藏解放的红色记忆，更紧扣新时代区域发展战略要求。当前，昌都以“红色引领、文化为魂、生态筑基”为发展路径，深度践行西藏“十四五”文旅规划中“打造特色文旅品牌”、“建设文化强区”的部署，已构建起资源禀赋突出、产业体系完善、品牌影响扩大的文化旅游发展格局，成为大香格里拉・茶马古道文化旅游核心体验区的关键支撑。</w:t>
      </w:r>
    </w:p>
    <w:p w14:paraId="38807DCB">
      <w:pPr>
        <w:spacing w:line="360" w:lineRule="auto"/>
        <w:ind w:firstLine="480" w:firstLineChars="200"/>
        <w:jc w:val="left"/>
        <w:rPr>
          <w:rFonts w:ascii="Times New Roman" w:cs="Times New Roman" w:hAnsiTheme="minorEastAsia"/>
          <w:sz w:val="24"/>
          <w:szCs w:val="24"/>
        </w:rPr>
      </w:pPr>
      <w:r>
        <w:rPr>
          <w:rFonts w:ascii="Times New Roman" w:cs="Times New Roman" w:hAnsiTheme="minorEastAsia"/>
          <w:sz w:val="24"/>
          <w:szCs w:val="24"/>
        </w:rPr>
        <w:t>从发展定位看，昌都立足“西藏红色文化源头、康巴文化发祥地、三江流域生态屏障”的三重身份，以四条国道为骨架规划“四大文化旅游走廊”——G317“魅力昌都・史诗人文风情走廊”、G318“开放昌都・精品旅居体验走廊”、G349“生态昌都・绿色新经济走廊”、G214“示范昌都・高质量综合发展走廊”，同步构筑“红色江达”“彩色类乌齐”“绿色边坝”“蓝色八宿”四大主题门户，形成全域统筹、分区特色的发展布局。从产业成效看，文旅融合已成为经济增长与民生改善的核心引擎，2024年全市接待游客达400.04万人次，实现旅游总收入32.8亿元，较“十三五”末期翻倍增长，带动近3万名农牧民就业增收，真正实现“资源变资产、文化变效益、生态变财富”的转型跨越。</w:t>
      </w:r>
    </w:p>
    <w:p w14:paraId="69083958">
      <w:pPr>
        <w:spacing w:line="360" w:lineRule="auto"/>
        <w:ind w:firstLine="480" w:firstLineChars="200"/>
        <w:jc w:val="left"/>
        <w:rPr>
          <w:rFonts w:ascii="Times New Roman" w:cs="Times New Roman" w:hAnsiTheme="minorEastAsia"/>
          <w:sz w:val="24"/>
          <w:szCs w:val="24"/>
        </w:rPr>
      </w:pPr>
      <w:r>
        <w:rPr>
          <w:rFonts w:ascii="Times New Roman" w:cs="Times New Roman" w:hAnsiTheme="minorEastAsia"/>
          <w:sz w:val="24"/>
          <w:szCs w:val="24"/>
        </w:rPr>
        <w:t>在发展特色上，昌都凸显“三色融合”的独特优势：红色资源活化与爱国主义教育深度结合，文化遗产传承与产业创新协同推进，生态保护与旅游开发实现双赢。同时依托援藏优势，深化与重庆、天津等省市的文旅合作，通过“走出去推介+请进来体验”</w:t>
      </w:r>
      <w:r>
        <w:rPr>
          <w:rFonts w:hint="eastAsia" w:ascii="Times New Roman" w:cs="Times New Roman" w:hAnsiTheme="minorEastAsia"/>
          <w:sz w:val="24"/>
          <w:szCs w:val="24"/>
        </w:rPr>
        <w:t>、</w:t>
      </w:r>
      <w:r>
        <w:rPr>
          <w:rFonts w:ascii="Times New Roman" w:cs="Times New Roman" w:hAnsiTheme="minorEastAsia"/>
          <w:sz w:val="24"/>
          <w:szCs w:val="24"/>
        </w:rPr>
        <w:t>“新媒体传播+名人引流”等模式，让“红色昌都 藏东明珠”的品牌形象从藏东走向全国，为建设康巴文化旅游区、打造全国红色旅游融合发展区奠定了坚实基础。</w:t>
      </w:r>
    </w:p>
    <w:p w14:paraId="0F442CB3">
      <w:pPr>
        <w:pStyle w:val="4"/>
        <w:numPr>
          <w:ilvl w:val="2"/>
          <w:numId w:val="2"/>
        </w:numPr>
        <w:spacing w:before="120" w:after="120" w:line="360" w:lineRule="auto"/>
        <w:rPr>
          <w:rStyle w:val="28"/>
          <w:color w:val="auto"/>
          <w:sz w:val="28"/>
          <w:szCs w:val="28"/>
          <w:u w:val="none"/>
        </w:rPr>
      </w:pPr>
      <w:bookmarkStart w:id="22" w:name="_Toc9169"/>
      <w:r>
        <w:rPr>
          <w:rStyle w:val="28"/>
          <w:color w:val="auto"/>
          <w:sz w:val="28"/>
          <w:szCs w:val="28"/>
          <w:u w:val="none"/>
        </w:rPr>
        <w:t>旅游产业</w:t>
      </w:r>
      <w:bookmarkEnd w:id="22"/>
    </w:p>
    <w:p w14:paraId="606B08F9">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紧抓文旅融合发展机遇，以国道317、214线为骨干构建旅游交通网络，初步形成多节点、全覆盖的旅游产业布局。产业规模稳步扩张，通过创建“康巴花都国家4A级景区”等载体，培育类乌齐觉恩村洒咧营地等特色文旅项目，实现“生态资源-旅游产品-增收渠道”的转化闭环，2022年以来觉恩村等重点村落通过文旅项目带动村民月均增收达6000元以上，村集体年增收10万元。发展模式持续创新，打造“红色+生态+民俗”文旅综合体，构建国道317线“一廊</w:t>
      </w:r>
      <w:r>
        <w:rPr>
          <w:rFonts w:hint="eastAsia" w:ascii="Times New Roman" w:cs="Times New Roman" w:hAnsiTheme="minorEastAsia"/>
          <w:sz w:val="24"/>
          <w:szCs w:val="24"/>
          <w:lang w:eastAsia="en-US"/>
        </w:rPr>
        <w:t>・</w:t>
      </w:r>
      <w:r>
        <w:rPr>
          <w:rFonts w:hint="eastAsia" w:ascii="Times New Roman" w:cs="Times New Roman" w:hAnsiTheme="minorEastAsia"/>
          <w:sz w:val="24"/>
          <w:szCs w:val="24"/>
        </w:rPr>
        <w:t>五片</w:t>
      </w:r>
      <w:r>
        <w:rPr>
          <w:rFonts w:hint="eastAsia" w:ascii="Times New Roman" w:cs="Times New Roman" w:hAnsiTheme="minorEastAsia"/>
          <w:sz w:val="24"/>
          <w:szCs w:val="24"/>
          <w:lang w:eastAsia="en-US"/>
        </w:rPr>
        <w:t>・</w:t>
      </w:r>
      <w:r>
        <w:rPr>
          <w:rFonts w:hint="eastAsia" w:ascii="Times New Roman" w:cs="Times New Roman" w:hAnsiTheme="minorEastAsia"/>
          <w:sz w:val="24"/>
          <w:szCs w:val="24"/>
        </w:rPr>
        <w:t>九驿</w:t>
      </w:r>
      <w:r>
        <w:rPr>
          <w:rFonts w:hint="eastAsia" w:ascii="Times New Roman" w:cs="Times New Roman" w:hAnsiTheme="minorEastAsia"/>
          <w:sz w:val="24"/>
          <w:szCs w:val="24"/>
          <w:lang w:eastAsia="en-US"/>
        </w:rPr>
        <w:t>・</w:t>
      </w:r>
      <w:r>
        <w:rPr>
          <w:rFonts w:hint="eastAsia" w:ascii="Times New Roman" w:cs="Times New Roman" w:hAnsiTheme="minorEastAsia"/>
          <w:sz w:val="24"/>
          <w:szCs w:val="24"/>
        </w:rPr>
        <w:t>多节点”红色旅游格局，推出茶马古道探秘、草原生态观光等精品线路，推动旅游消费从单一观光向深度体验转型。服务体系不断完善，茶马广场等核心商圈集聚300余家特色商铺，藏式餐饮、民俗住宿等配套设施日趋健全，滨果观景台等网红打卡点提升游客体验，形成“吃住行游购娱”一体化服务链条。</w:t>
      </w:r>
    </w:p>
    <w:p w14:paraId="290806C5">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立足“三江流域生态屏障、茶马古道文化核心、红色基因发源地”的独特定位，紧扣西藏“十四五”文旅规划及《西藏自治区文化旅游产业发展规（2025-2035年）》要求，以建设康巴文化旅游区核心承载地为目标，推动旅游产业实现从观光过境型向深度体验型的结构性升级，成为全市经济社会发展的重要增长极。</w:t>
      </w:r>
    </w:p>
    <w:p w14:paraId="4D65D02D">
      <w:pPr>
        <w:pStyle w:val="4"/>
        <w:numPr>
          <w:ilvl w:val="2"/>
          <w:numId w:val="2"/>
        </w:numPr>
        <w:spacing w:before="120" w:after="120" w:line="360" w:lineRule="auto"/>
        <w:rPr>
          <w:rStyle w:val="28"/>
          <w:color w:val="auto"/>
          <w:sz w:val="28"/>
          <w:szCs w:val="28"/>
          <w:u w:val="none"/>
        </w:rPr>
      </w:pPr>
      <w:bookmarkStart w:id="23" w:name="_Toc31190"/>
      <w:r>
        <w:rPr>
          <w:rStyle w:val="28"/>
          <w:rFonts w:hint="eastAsia"/>
          <w:color w:val="auto"/>
          <w:sz w:val="28"/>
          <w:szCs w:val="28"/>
          <w:u w:val="none"/>
        </w:rPr>
        <w:t>文化产业</w:t>
      </w:r>
      <w:bookmarkEnd w:id="23"/>
    </w:p>
    <w:p w14:paraId="56371B1B">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文化产业以康巴文化传承创新为核心，依托深厚的康巴文化底蕴，紧扣西藏“建设文化强区”战略部署，推动文化产业从资源优势向产业优势转化，在传承民族文脉的同时释放经济价值，成为铸牢中华民族共同体意识的重要载体。构建“遗产保护-技艺活化-产品转化”的发展体系。非遗传承成效显著，拥有芒康弦子舞、井盐晒制技艺、波罗古泽刻版制作技艺等国家级非物质文化遗产，通过建设非遗工坊、开发文创产品，让古老技艺融入现代生活。红色文化赋能发展，作为西藏第一面五星红旗升起的地方，活化利用红色遗迹资源，创作《铸魂达玛拉》、《丹达魂》等文艺作品，打造红色研学基地，推动红色基因与旅游产业深度融合。民俗文化蓬勃发展，依托锅庄舞、藏式饮食、传统节庆等民俗资源，培育德勒仓音乐餐吧等特色文化载体，在茶马广场等核心区域形成常态化民俗展示场景，促进文化体验与消费升级。乡村文化振兴提速，推进村史馆建设，挖掘乡村生产生活、家风家规等乡土文化，类乌齐县卡玛多乡等生态文明示范乡村实现文化建设与生态保护协同发展。</w:t>
      </w:r>
    </w:p>
    <w:p w14:paraId="71CFB96D">
      <w:pPr>
        <w:pStyle w:val="4"/>
        <w:numPr>
          <w:ilvl w:val="2"/>
          <w:numId w:val="2"/>
        </w:numPr>
        <w:spacing w:before="120" w:after="120" w:line="360" w:lineRule="auto"/>
        <w:rPr>
          <w:rStyle w:val="28"/>
          <w:color w:val="auto"/>
          <w:sz w:val="28"/>
          <w:szCs w:val="28"/>
          <w:u w:val="none"/>
        </w:rPr>
      </w:pPr>
      <w:bookmarkStart w:id="24" w:name="_Toc21256"/>
      <w:r>
        <w:rPr>
          <w:rStyle w:val="28"/>
          <w:color w:val="auto"/>
          <w:sz w:val="28"/>
          <w:szCs w:val="28"/>
          <w:u w:val="none"/>
        </w:rPr>
        <w:t>旅游资源</w:t>
      </w:r>
      <w:bookmarkEnd w:id="24"/>
    </w:p>
    <w:p w14:paraId="6503469E">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旅游资源兼具生态稀缺性、文化独特性与景观多样性，形成“草原生态、红色文化、历史遗迹、民俗风情”四大体系，现有各级文物保护单位678处、非遗项目261项、A级景区14处，构建“山水为体、文化为魂、红色为脉”的发展基底，为文旅融合提供广阔空间。</w:t>
      </w:r>
    </w:p>
    <w:p w14:paraId="2F49E25B">
      <w:pPr>
        <w:spacing w:line="360" w:lineRule="auto"/>
        <w:ind w:firstLine="480" w:firstLineChars="200"/>
        <w:rPr>
          <w:rFonts w:ascii="Times New Roman" w:cs="Times New Roman" w:hAnsiTheme="minorEastAsia"/>
          <w:sz w:val="24"/>
          <w:szCs w:val="24"/>
        </w:rPr>
      </w:pPr>
      <w:r>
        <w:rPr>
          <w:rFonts w:hint="eastAsia" w:ascii="Times New Roman" w:cs="Times New Roman" w:hAnsiTheme="minorEastAsia"/>
          <w:sz w:val="24"/>
          <w:szCs w:val="24"/>
        </w:rPr>
        <w:t>昌都市旅游资源兼具生态稀缺性、文化独特性与景观多样性，形成“草原生态、红色文化、历史遗迹、民俗风情”四大核心资源体系。生态旅游资源得天独厚，境内广袤的高寒草原是青藏高原生态系统的典型代表，与“三江”峡谷、雪山冰川构成多层次生态景观，为生态旅游提供优质基底。红色旅游资源底蕴深厚，以国道317线江达段为核心，集聚岗托红色遗址等“红色地标”，是西藏红色文化高地与重要旅游目的地。历史文化资源源远流长，卡若遗址作为新石器时代古人类文化遗址，出土的双体陶罐等文物见证5000年文明史。民俗旅游资源特色鲜明，康巴服饰、藏式火锅、牦牛制品等饮食文化，芒康弦子舞等歌舞艺术，以及井盐晒制、木刻等传统技艺，构成独具魅力的民俗体验体系。各类资源与草原生态系统深度交织，为“草原+文旅”融合发展提供了广阔空间。</w:t>
      </w:r>
    </w:p>
    <w:p w14:paraId="733C0F9B">
      <w:pPr>
        <w:pStyle w:val="3"/>
        <w:keepNext/>
        <w:keepLines/>
        <w:numPr>
          <w:ilvl w:val="1"/>
          <w:numId w:val="2"/>
        </w:numPr>
        <w:spacing w:before="120" w:beforeAutospacing="0" w:after="120" w:afterAutospacing="0" w:line="360" w:lineRule="auto"/>
        <w:jc w:val="both"/>
        <w:rPr>
          <w:rStyle w:val="28"/>
          <w:rFonts w:hint="default" w:ascii="Times New Roman" w:hAnsi="Times New Roman"/>
          <w:bCs/>
          <w:color w:val="auto"/>
          <w:kern w:val="2"/>
          <w:sz w:val="32"/>
          <w:szCs w:val="32"/>
          <w:u w:val="none"/>
        </w:rPr>
      </w:pPr>
      <w:bookmarkStart w:id="25" w:name="_Toc23134"/>
      <w:r>
        <w:rPr>
          <w:rStyle w:val="28"/>
          <w:rFonts w:ascii="Times New Roman" w:hAnsi="Times New Roman"/>
          <w:bCs/>
          <w:color w:val="auto"/>
          <w:kern w:val="2"/>
          <w:sz w:val="32"/>
          <w:szCs w:val="32"/>
          <w:u w:val="none"/>
        </w:rPr>
        <w:t>土地利用现状</w:t>
      </w:r>
      <w:bookmarkEnd w:id="25"/>
    </w:p>
    <w:p w14:paraId="7AD2D94E">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cs="Times New Roman"/>
          <w:sz w:val="24"/>
          <w:szCs w:val="24"/>
        </w:rPr>
        <w:t>根据第三次国土资源调查2024年变更数据，</w:t>
      </w:r>
      <w:r>
        <w:rPr>
          <w:rFonts w:hint="default" w:ascii="Times New Roman" w:hAnsi="Times New Roman" w:eastAsia="宋体" w:cs="Times New Roman"/>
          <w:sz w:val="24"/>
          <w:szCs w:val="24"/>
        </w:rPr>
        <w:t>按照《国土空间调查、规划、用途管制用地用海分类指南》土地分类要求可知，昌都市土地利用类别共有</w:t>
      </w:r>
      <w:r>
        <w:rPr>
          <w:rFonts w:hint="default" w:ascii="Times New Roman" w:hAnsi="Times New Roman" w:cs="Times New Roman"/>
          <w:sz w:val="24"/>
          <w:szCs w:val="24"/>
        </w:rPr>
        <w:t>12</w:t>
      </w:r>
      <w:r>
        <w:rPr>
          <w:rFonts w:hint="default" w:ascii="Times New Roman" w:hAnsi="Times New Roman" w:eastAsia="宋体" w:cs="Times New Roman"/>
          <w:sz w:val="24"/>
          <w:szCs w:val="24"/>
        </w:rPr>
        <w:t>类，分别为：耕地、种植园用地、林地、草地、商业服务业用地、工矿用地、住宅用地、公共管理与公共服务用地、特殊用地、交通运输用地、水域及水利设施用地、其他土地。</w:t>
      </w:r>
    </w:p>
    <w:p w14:paraId="5E57309E">
      <w:pPr>
        <w:spacing w:line="360" w:lineRule="auto"/>
        <w:ind w:firstLine="480" w:firstLineChars="200"/>
        <w:rPr>
          <w:rFonts w:ascii="Times New Roman" w:cs="Times New Roman" w:hAnsiTheme="minorEastAsia"/>
          <w:sz w:val="24"/>
          <w:szCs w:val="24"/>
        </w:rPr>
      </w:pPr>
      <w:r>
        <w:rPr>
          <w:rFonts w:hint="default" w:ascii="Times New Roman" w:hAnsi="Times New Roman" w:cs="Times New Roman"/>
          <w:sz w:val="24"/>
          <w:szCs w:val="24"/>
        </w:rPr>
        <w:t>昌都市国土面积为1098.44万公顷（第三次国土资源调查2024年变更数据），土地类型以草地、林地为主，其中，草地面积为509.24万公顷</w:t>
      </w:r>
      <w:r>
        <w:rPr>
          <w:rFonts w:hint="default" w:ascii="Times New Roman" w:hAnsi="Times New Roman" w:cs="Times New Roman"/>
          <w:color w:val="1901FB"/>
          <w:sz w:val="24"/>
          <w:szCs w:val="24"/>
        </w:rPr>
        <w:t>（昌都市2024年林草综合监测数据）</w:t>
      </w:r>
      <w:r>
        <w:rPr>
          <w:rFonts w:hint="default" w:ascii="Times New Roman" w:hAnsi="Times New Roman" w:cs="Times New Roman"/>
          <w:sz w:val="24"/>
          <w:szCs w:val="24"/>
        </w:rPr>
        <w:t>，占昌都市国土面积的46.36%，林地面积为501.68万公顷，占昌都市国土面积的45.67%；其他用地占昌都市国土面积的7.97%。</w:t>
      </w:r>
    </w:p>
    <w:p w14:paraId="7F49FF6D">
      <w:pPr>
        <w:spacing w:line="360" w:lineRule="auto"/>
        <w:jc w:val="left"/>
        <w:rPr>
          <w:rFonts w:ascii="Times New Roman" w:cs="Times New Roman" w:hAnsiTheme="minorEastAsia"/>
          <w:sz w:val="24"/>
          <w:szCs w:val="24"/>
        </w:rPr>
      </w:pPr>
      <w:r>
        <w:drawing>
          <wp:inline distT="0" distB="0" distL="114300" distR="114300">
            <wp:extent cx="5547360" cy="3752215"/>
            <wp:effectExtent l="19050" t="0" r="0" b="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3" cstate="print"/>
                    <a:stretch>
                      <a:fillRect/>
                    </a:stretch>
                  </pic:blipFill>
                  <pic:spPr>
                    <a:xfrm>
                      <a:off x="0" y="0"/>
                      <a:ext cx="5547446" cy="3752264"/>
                    </a:xfrm>
                    <a:prstGeom prst="rect">
                      <a:avLst/>
                    </a:prstGeom>
                    <a:noFill/>
                    <a:ln>
                      <a:noFill/>
                    </a:ln>
                  </pic:spPr>
                </pic:pic>
              </a:graphicData>
            </a:graphic>
          </wp:inline>
        </w:drawing>
      </w:r>
    </w:p>
    <w:p w14:paraId="39802A4B">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图2-4土地利用现状图</w:t>
      </w:r>
    </w:p>
    <w:p w14:paraId="32B2C3E0">
      <w:pPr>
        <w:rPr>
          <w:rFonts w:ascii="宋体" w:hAnsi="宋体" w:eastAsia="宋体"/>
          <w:sz w:val="28"/>
        </w:rPr>
      </w:pPr>
      <w:r>
        <w:rPr>
          <w:rFonts w:ascii="Times New Roman" w:cs="Times New Roman" w:hAnsiTheme="minorEastAsia"/>
          <w:sz w:val="24"/>
          <w:szCs w:val="24"/>
        </w:rPr>
        <w:br w:type="page"/>
      </w:r>
    </w:p>
    <w:p w14:paraId="3A7787CB">
      <w:pPr>
        <w:pStyle w:val="2"/>
        <w:numPr>
          <w:ilvl w:val="0"/>
          <w:numId w:val="2"/>
        </w:numPr>
        <w:spacing w:before="156" w:after="156" w:line="360" w:lineRule="auto"/>
        <w:rPr>
          <w:rFonts w:eastAsia="宋体"/>
          <w:bCs/>
          <w:snapToGrid/>
          <w:kern w:val="44"/>
          <w:szCs w:val="44"/>
        </w:rPr>
      </w:pPr>
      <w:bookmarkStart w:id="26" w:name="_Toc23945"/>
      <w:r>
        <w:rPr>
          <w:rFonts w:hint="eastAsia" w:eastAsia="宋体"/>
          <w:bCs/>
          <w:snapToGrid/>
          <w:kern w:val="44"/>
          <w:szCs w:val="44"/>
        </w:rPr>
        <w:t>草原保护利用现状</w:t>
      </w:r>
      <w:bookmarkEnd w:id="26"/>
    </w:p>
    <w:p w14:paraId="763CB974">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27" w:name="_Toc21170"/>
      <w:r>
        <w:rPr>
          <w:rStyle w:val="28"/>
          <w:rFonts w:hint="default" w:ascii="Times New Roman"/>
          <w:color w:val="auto"/>
          <w:kern w:val="2"/>
          <w:sz w:val="32"/>
          <w:szCs w:val="32"/>
          <w:u w:val="none"/>
        </w:rPr>
        <w:t>草原资源基本情况</w:t>
      </w:r>
      <w:bookmarkEnd w:id="27"/>
    </w:p>
    <w:p w14:paraId="57B779B8">
      <w:pPr>
        <w:pStyle w:val="4"/>
        <w:numPr>
          <w:ilvl w:val="2"/>
          <w:numId w:val="2"/>
        </w:numPr>
        <w:spacing w:before="120" w:after="120" w:line="360" w:lineRule="auto"/>
        <w:rPr>
          <w:rStyle w:val="28"/>
          <w:color w:val="auto"/>
          <w:sz w:val="28"/>
          <w:szCs w:val="28"/>
          <w:u w:val="none"/>
        </w:rPr>
      </w:pPr>
      <w:bookmarkStart w:id="28" w:name="_Toc22699"/>
      <w:r>
        <w:rPr>
          <w:rStyle w:val="28"/>
          <w:rFonts w:hint="eastAsia"/>
          <w:color w:val="auto"/>
          <w:sz w:val="28"/>
          <w:szCs w:val="28"/>
          <w:u w:val="none"/>
        </w:rPr>
        <w:t>草原面积与分布</w:t>
      </w:r>
      <w:bookmarkEnd w:id="28"/>
    </w:p>
    <w:p w14:paraId="2A0748A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w:t>
      </w:r>
      <w:r>
        <w:rPr>
          <w:rFonts w:hint="eastAsia" w:ascii="Times New Roman" w:hAnsi="Times New Roman" w:cs="Times New Roman"/>
          <w:sz w:val="24"/>
          <w:szCs w:val="24"/>
        </w:rPr>
        <w:t>林草综合监测</w:t>
      </w:r>
      <w:r>
        <w:rPr>
          <w:rFonts w:ascii="Times New Roman" w:hAnsi="Times New Roman" w:cs="Times New Roman"/>
          <w:sz w:val="24"/>
          <w:szCs w:val="24"/>
        </w:rPr>
        <w:t>数据可知，昌都市草地面积为</w:t>
      </w:r>
      <w:r>
        <w:rPr>
          <w:rFonts w:hint="eastAsia" w:ascii="Times New Roman" w:hAnsi="Times New Roman" w:cs="Times New Roman"/>
          <w:sz w:val="24"/>
          <w:szCs w:val="24"/>
        </w:rPr>
        <w:t>5092449.10</w:t>
      </w:r>
      <w:r>
        <w:rPr>
          <w:rFonts w:ascii="Times New Roman" w:hAnsi="Times New Roman" w:cs="Times New Roman"/>
          <w:sz w:val="24"/>
          <w:szCs w:val="24"/>
        </w:rPr>
        <w:t>公顷，占全</w:t>
      </w:r>
      <w:r>
        <w:rPr>
          <w:rFonts w:hint="eastAsia" w:ascii="Times New Roman" w:hAnsi="Times New Roman" w:cs="Times New Roman"/>
          <w:sz w:val="24"/>
          <w:szCs w:val="24"/>
        </w:rPr>
        <w:t>市</w:t>
      </w:r>
      <w:r>
        <w:rPr>
          <w:rFonts w:ascii="Times New Roman" w:hAnsi="Times New Roman" w:cs="Times New Roman"/>
          <w:sz w:val="24"/>
          <w:szCs w:val="24"/>
        </w:rPr>
        <w:t>国土面积46.3</w:t>
      </w:r>
      <w:r>
        <w:rPr>
          <w:rFonts w:hint="eastAsia" w:ascii="Times New Roman" w:hAnsi="Times New Roman" w:cs="Times New Roman"/>
          <w:sz w:val="24"/>
          <w:szCs w:val="24"/>
        </w:rPr>
        <w:t>6</w:t>
      </w:r>
      <w:r>
        <w:rPr>
          <w:rFonts w:ascii="Times New Roman" w:hAnsi="Times New Roman" w:cs="Times New Roman"/>
          <w:sz w:val="24"/>
          <w:szCs w:val="24"/>
        </w:rPr>
        <w:t>%。其中，天然牧草地</w:t>
      </w:r>
      <w:r>
        <w:rPr>
          <w:rFonts w:ascii="Times New Roman" w:hAnsi="Times New Roman" w:eastAsia="宋体" w:cs="Times New Roman"/>
          <w:kern w:val="0"/>
          <w:sz w:val="24"/>
          <w:szCs w:val="24"/>
        </w:rPr>
        <w:t>44</w:t>
      </w:r>
      <w:r>
        <w:rPr>
          <w:rFonts w:hint="eastAsia" w:ascii="Times New Roman" w:hAnsi="Times New Roman" w:eastAsia="宋体" w:cs="Times New Roman"/>
          <w:kern w:val="0"/>
          <w:sz w:val="24"/>
          <w:szCs w:val="24"/>
        </w:rPr>
        <w:t>05058.45</w:t>
      </w:r>
      <w:r>
        <w:rPr>
          <w:rFonts w:ascii="Times New Roman" w:hAnsi="Times New Roman" w:cs="Times New Roman"/>
          <w:sz w:val="24"/>
          <w:szCs w:val="24"/>
        </w:rPr>
        <w:t>公顷，占草地面积的86.5</w:t>
      </w:r>
      <w:r>
        <w:rPr>
          <w:rFonts w:hint="eastAsia" w:ascii="Times New Roman" w:hAnsi="Times New Roman" w:cs="Times New Roman"/>
          <w:sz w:val="24"/>
          <w:szCs w:val="24"/>
        </w:rPr>
        <w:t>0</w:t>
      </w:r>
      <w:r>
        <w:rPr>
          <w:rFonts w:ascii="Times New Roman" w:hAnsi="Times New Roman" w:cs="Times New Roman"/>
          <w:sz w:val="24"/>
          <w:szCs w:val="24"/>
        </w:rPr>
        <w:t>%；人工草地</w:t>
      </w:r>
      <w:r>
        <w:rPr>
          <w:rFonts w:ascii="Times New Roman" w:hAnsi="Times New Roman" w:eastAsia="宋体" w:cs="Times New Roman"/>
          <w:kern w:val="0"/>
          <w:sz w:val="24"/>
          <w:szCs w:val="24"/>
        </w:rPr>
        <w:t>63</w:t>
      </w:r>
      <w:r>
        <w:rPr>
          <w:rFonts w:hint="eastAsia" w:ascii="Times New Roman" w:hAnsi="Times New Roman" w:eastAsia="宋体" w:cs="Times New Roman"/>
          <w:kern w:val="0"/>
          <w:sz w:val="24"/>
          <w:szCs w:val="24"/>
        </w:rPr>
        <w:t>71.46</w:t>
      </w:r>
      <w:r>
        <w:rPr>
          <w:rFonts w:ascii="Times New Roman" w:hAnsi="Times New Roman" w:cs="Times New Roman"/>
          <w:sz w:val="24"/>
          <w:szCs w:val="24"/>
        </w:rPr>
        <w:t>公顷，占草地面积的0.13%；其他草地</w:t>
      </w:r>
      <w:r>
        <w:rPr>
          <w:rFonts w:hint="eastAsia" w:ascii="Times New Roman" w:hAnsi="Times New Roman" w:eastAsia="宋体" w:cs="Times New Roman"/>
          <w:kern w:val="0"/>
          <w:sz w:val="24"/>
          <w:szCs w:val="24"/>
        </w:rPr>
        <w:t>681019.19</w:t>
      </w:r>
      <w:r>
        <w:rPr>
          <w:rFonts w:ascii="Times New Roman" w:hAnsi="Times New Roman" w:cs="Times New Roman"/>
          <w:sz w:val="24"/>
          <w:szCs w:val="24"/>
        </w:rPr>
        <w:t>公顷，占草地面积的13.</w:t>
      </w:r>
      <w:r>
        <w:rPr>
          <w:rFonts w:hint="eastAsia" w:ascii="Times New Roman" w:hAnsi="Times New Roman" w:cs="Times New Roman"/>
          <w:sz w:val="24"/>
          <w:szCs w:val="24"/>
        </w:rPr>
        <w:t>37</w:t>
      </w:r>
      <w:r>
        <w:rPr>
          <w:rFonts w:ascii="Times New Roman" w:hAnsi="Times New Roman" w:cs="Times New Roman"/>
          <w:sz w:val="24"/>
          <w:szCs w:val="24"/>
        </w:rPr>
        <w:t>%。</w:t>
      </w:r>
    </w:p>
    <w:p w14:paraId="03EA633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从行政区划上来说，草地在各区县分布不均衡，丁青县、江达县、八宿县分布面积较大，草地面积之和占全市草地总面积的44.18%。</w:t>
      </w:r>
    </w:p>
    <w:p w14:paraId="7181A5A1">
      <w:pPr>
        <w:spacing w:line="360" w:lineRule="auto"/>
        <w:jc w:val="center"/>
        <w:rPr>
          <w:rFonts w:ascii="Times New Roman" w:hAnsi="Times New Roman" w:eastAsia="Batang" w:cs="Times New Roman"/>
          <w:sz w:val="24"/>
          <w:szCs w:val="21"/>
        </w:rPr>
      </w:pPr>
      <w:r>
        <w:rPr>
          <w:rFonts w:hint="eastAsia" w:ascii="Times New Roman" w:hAnsi="Times New Roman" w:eastAsia="黑体" w:cs="Times New Roman"/>
          <w:sz w:val="24"/>
          <w:szCs w:val="21"/>
        </w:rPr>
        <w:t>表3-1   昌都市草地面积统计表</w:t>
      </w:r>
    </w:p>
    <w:tbl>
      <w:tblPr>
        <w:tblStyle w:val="24"/>
        <w:tblW w:w="9395" w:type="dxa"/>
        <w:tblInd w:w="0" w:type="dxa"/>
        <w:tblLayout w:type="fixed"/>
        <w:tblCellMar>
          <w:top w:w="0" w:type="dxa"/>
          <w:left w:w="0" w:type="dxa"/>
          <w:bottom w:w="0" w:type="dxa"/>
          <w:right w:w="0" w:type="dxa"/>
        </w:tblCellMar>
      </w:tblPr>
      <w:tblGrid>
        <w:gridCol w:w="1130"/>
        <w:gridCol w:w="1957"/>
        <w:gridCol w:w="1576"/>
        <w:gridCol w:w="1672"/>
        <w:gridCol w:w="1545"/>
        <w:gridCol w:w="1515"/>
      </w:tblGrid>
      <w:tr w14:paraId="477801C1">
        <w:tblPrEx>
          <w:tblCellMar>
            <w:top w:w="0" w:type="dxa"/>
            <w:left w:w="0" w:type="dxa"/>
            <w:bottom w:w="0" w:type="dxa"/>
            <w:right w:w="0" w:type="dxa"/>
          </w:tblCellMar>
        </w:tblPrEx>
        <w:trPr>
          <w:trHeight w:val="300" w:hRule="atLeast"/>
        </w:trPr>
        <w:tc>
          <w:tcPr>
            <w:tcW w:w="113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17B4E8">
            <w:pPr>
              <w:widowControl/>
              <w:jc w:val="center"/>
              <w:textAlignment w:val="center"/>
              <w:rPr>
                <w:rFonts w:ascii="宋体" w:hAnsi="宋体" w:eastAsia="宋体" w:cs="宋体"/>
                <w:sz w:val="22"/>
              </w:rPr>
            </w:pPr>
            <w:r>
              <w:rPr>
                <w:rFonts w:hint="eastAsia" w:ascii="宋体" w:hAnsi="宋体" w:eastAsia="宋体" w:cs="宋体"/>
                <w:kern w:val="0"/>
                <w:sz w:val="22"/>
              </w:rPr>
              <w:t>县（区）</w:t>
            </w:r>
          </w:p>
        </w:tc>
        <w:tc>
          <w:tcPr>
            <w:tcW w:w="5205"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746C8B">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二级地类（公顷）</w:t>
            </w:r>
          </w:p>
        </w:tc>
        <w:tc>
          <w:tcPr>
            <w:tcW w:w="154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5ED837">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总计（公顷）</w:t>
            </w:r>
          </w:p>
        </w:tc>
        <w:tc>
          <w:tcPr>
            <w:tcW w:w="151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54933D">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占比（</w:t>
            </w:r>
            <w:r>
              <w:rPr>
                <w:rStyle w:val="51"/>
                <w:rFonts w:eastAsia="宋体"/>
                <w:color w:val="auto"/>
              </w:rPr>
              <w:t>%</w:t>
            </w:r>
            <w:r>
              <w:rPr>
                <w:rFonts w:hint="eastAsia" w:ascii="宋体" w:hAnsi="宋体" w:eastAsia="宋体" w:cs="宋体"/>
                <w:kern w:val="0"/>
                <w:sz w:val="22"/>
              </w:rPr>
              <w:t>）</w:t>
            </w:r>
          </w:p>
        </w:tc>
      </w:tr>
      <w:tr w14:paraId="7E423813">
        <w:tblPrEx>
          <w:tblCellMar>
            <w:top w:w="0" w:type="dxa"/>
            <w:left w:w="0" w:type="dxa"/>
            <w:bottom w:w="0" w:type="dxa"/>
            <w:right w:w="0" w:type="dxa"/>
          </w:tblCellMar>
        </w:tblPrEx>
        <w:trPr>
          <w:trHeight w:val="300" w:hRule="atLeast"/>
        </w:trPr>
        <w:tc>
          <w:tcPr>
            <w:tcW w:w="113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FD94D">
            <w:pPr>
              <w:jc w:val="center"/>
              <w:rPr>
                <w:rFonts w:ascii="宋体" w:hAnsi="宋体" w:eastAsia="宋体" w:cs="宋体"/>
                <w:sz w:val="22"/>
              </w:rPr>
            </w:pP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8082EE">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天然牧草地</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0DD890">
            <w:pPr>
              <w:widowControl/>
              <w:jc w:val="center"/>
              <w:textAlignment w:val="center"/>
              <w:rPr>
                <w:rFonts w:ascii="宋体" w:hAnsi="宋体" w:eastAsia="宋体" w:cs="宋体"/>
                <w:sz w:val="22"/>
              </w:rPr>
            </w:pPr>
            <w:r>
              <w:rPr>
                <w:rFonts w:hint="eastAsia" w:ascii="宋体" w:hAnsi="宋体" w:eastAsia="宋体" w:cs="宋体"/>
                <w:kern w:val="0"/>
                <w:sz w:val="22"/>
              </w:rPr>
              <w:t>人工草地</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7D37F">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其他草地</w:t>
            </w:r>
          </w:p>
        </w:tc>
        <w:tc>
          <w:tcPr>
            <w:tcW w:w="154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F15077">
            <w:pPr>
              <w:jc w:val="center"/>
              <w:rPr>
                <w:rFonts w:ascii="Times New Roman" w:hAnsi="Times New Roman" w:eastAsia="宋体" w:cs="Times New Roman"/>
                <w:sz w:val="22"/>
              </w:rPr>
            </w:pPr>
          </w:p>
        </w:tc>
        <w:tc>
          <w:tcPr>
            <w:tcW w:w="151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C94B2D">
            <w:pPr>
              <w:jc w:val="center"/>
              <w:rPr>
                <w:rFonts w:ascii="Times New Roman" w:hAnsi="Times New Roman" w:eastAsia="宋体" w:cs="Times New Roman"/>
                <w:sz w:val="22"/>
              </w:rPr>
            </w:pPr>
          </w:p>
        </w:tc>
      </w:tr>
      <w:tr w14:paraId="2ED45A51">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063F28">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卡若区</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378E5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333903.12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ACE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131.83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7D7B9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6577.90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8B01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340612.85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D626A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6.69 </w:t>
            </w:r>
          </w:p>
        </w:tc>
      </w:tr>
      <w:tr w14:paraId="0958C742">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24ADE4">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江达县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2AD58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724560.41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97E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528.97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93FA6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24608.23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26E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749697.61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A5DF2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14.72 </w:t>
            </w:r>
          </w:p>
        </w:tc>
      </w:tr>
      <w:tr w14:paraId="4A7375A0">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24BF2C">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贡觉县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1F4B2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290744.09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78DBF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41.37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C225F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8302.93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4DCDB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299088.39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2112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5.87 </w:t>
            </w:r>
          </w:p>
        </w:tc>
      </w:tr>
      <w:tr w14:paraId="10204D61">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89B08">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类乌齐县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97229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268254.88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6F82B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2452.90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C8CBD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41643.92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D9045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312351.70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64E0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6.13 </w:t>
            </w:r>
          </w:p>
        </w:tc>
      </w:tr>
      <w:tr w14:paraId="7B7D630F">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06A9F3">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丁青县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E94D7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675500.49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33E7A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138.09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B4E36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185908.77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5C1C9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861547.35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9697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16.92 </w:t>
            </w:r>
          </w:p>
        </w:tc>
      </w:tr>
      <w:tr w14:paraId="4D13C029">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8BF783">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察雅县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111F5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412915.20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A414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262.66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4256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25008.81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30CD2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438186.67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683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8.60 </w:t>
            </w:r>
          </w:p>
        </w:tc>
      </w:tr>
      <w:tr w14:paraId="4B74613E">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ADA2B">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八宿县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F1B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551967.17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7FF35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934.24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B7EC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85815.93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01E53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638717.34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5D857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12.54 </w:t>
            </w:r>
          </w:p>
        </w:tc>
      </w:tr>
      <w:tr w14:paraId="1315F616">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60358">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左贡县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10A34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416098.47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7B371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285.34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C85F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89891.15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AC33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506274.96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487B9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9.94 </w:t>
            </w:r>
          </w:p>
        </w:tc>
      </w:tr>
      <w:tr w14:paraId="4A7F040F">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A5D4F6">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芒康县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2476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269627.32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294C4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986.90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2533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1352.71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FCF7C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271966.93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146D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5.34 </w:t>
            </w:r>
          </w:p>
        </w:tc>
      </w:tr>
      <w:tr w14:paraId="1C57CD2C">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3802DD">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洛隆县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9A47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156912.12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6C882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311.00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CC817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97623.16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F79FE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254846.28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CFB1E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5.00 </w:t>
            </w:r>
          </w:p>
        </w:tc>
      </w:tr>
      <w:tr w14:paraId="72F11BE9">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4392F4">
            <w:pPr>
              <w:widowControl/>
              <w:jc w:val="center"/>
              <w:textAlignment w:val="center"/>
              <w:rPr>
                <w:rFonts w:ascii="Times New Roman" w:hAnsi="Times New Roman" w:eastAsia="宋体" w:cs="Times New Roman"/>
                <w:sz w:val="22"/>
              </w:rPr>
            </w:pPr>
            <w:r>
              <w:rPr>
                <w:rFonts w:hint="eastAsia" w:ascii="宋体" w:hAnsi="宋体" w:eastAsia="宋体" w:cs="宋体"/>
                <w:kern w:val="0"/>
                <w:sz w:val="22"/>
              </w:rPr>
              <w:t>边坝县</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02704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304575.18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11D6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298.16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6DB0C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114285.68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A90D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419159.02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3C949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8.23 </w:t>
            </w:r>
          </w:p>
        </w:tc>
      </w:tr>
      <w:tr w14:paraId="223F8EF7">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E1E4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合计</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1C45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4405058.45 </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79713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6371.46 </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81509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681019.19 </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4ABF4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5092449.10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24088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100.00 </w:t>
            </w:r>
          </w:p>
        </w:tc>
      </w:tr>
      <w:tr w14:paraId="290B800E">
        <w:tblPrEx>
          <w:tblCellMar>
            <w:top w:w="0" w:type="dxa"/>
            <w:left w:w="0" w:type="dxa"/>
            <w:bottom w:w="0" w:type="dxa"/>
            <w:right w:w="0" w:type="dxa"/>
          </w:tblCellMar>
        </w:tblPrEx>
        <w:trPr>
          <w:trHeight w:val="300" w:hRule="atLeast"/>
        </w:trPr>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78E081">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占草地面积</w:t>
            </w:r>
          </w:p>
          <w:p w14:paraId="711A047F">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比例（%）</w:t>
            </w:r>
          </w:p>
        </w:tc>
        <w:tc>
          <w:tcPr>
            <w:tcW w:w="1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317D2F">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86.50</w:t>
            </w:r>
          </w:p>
        </w:tc>
        <w:tc>
          <w:tcPr>
            <w:tcW w:w="1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447FFB">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0.13</w:t>
            </w:r>
          </w:p>
        </w:tc>
        <w:tc>
          <w:tcPr>
            <w:tcW w:w="16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130C0">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13.37</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2F4788">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kern w:val="0"/>
                <w:sz w:val="22"/>
              </w:rPr>
              <w:t>100.00</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4E11A9">
            <w:pPr>
              <w:widowControl/>
              <w:jc w:val="center"/>
              <w:textAlignment w:val="center"/>
              <w:rPr>
                <w:rFonts w:ascii="Times New Roman" w:hAnsi="Times New Roman" w:eastAsia="宋体" w:cs="Times New Roman"/>
                <w:kern w:val="0"/>
                <w:sz w:val="22"/>
              </w:rPr>
            </w:pPr>
            <w:r>
              <w:rPr>
                <w:rFonts w:hint="eastAsia" w:ascii="Times New Roman" w:hAnsi="Times New Roman" w:eastAsia="宋体" w:cs="Times New Roman"/>
                <w:b/>
                <w:bCs/>
                <w:kern w:val="0"/>
                <w:sz w:val="22"/>
              </w:rPr>
              <w:t>/</w:t>
            </w:r>
          </w:p>
        </w:tc>
      </w:tr>
    </w:tbl>
    <w:p w14:paraId="6690B79C"/>
    <w:p w14:paraId="25B4CC2D">
      <w:r>
        <w:drawing>
          <wp:inline distT="0" distB="0" distL="114300" distR="114300">
            <wp:extent cx="5680075" cy="3968750"/>
            <wp:effectExtent l="0" t="0" r="15875" b="1270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4" cstate="print"/>
                    <a:stretch>
                      <a:fillRect/>
                    </a:stretch>
                  </pic:blipFill>
                  <pic:spPr>
                    <a:xfrm>
                      <a:off x="0" y="0"/>
                      <a:ext cx="5680075" cy="3968750"/>
                    </a:xfrm>
                    <a:prstGeom prst="rect">
                      <a:avLst/>
                    </a:prstGeom>
                    <a:noFill/>
                    <a:ln>
                      <a:noFill/>
                    </a:ln>
                  </pic:spPr>
                </pic:pic>
              </a:graphicData>
            </a:graphic>
          </wp:inline>
        </w:drawing>
      </w:r>
    </w:p>
    <w:p w14:paraId="5547E09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图3-1昌都市草原资源空间分布图</w:t>
      </w:r>
    </w:p>
    <w:p w14:paraId="484E8BC9">
      <w:pPr>
        <w:pStyle w:val="4"/>
        <w:numPr>
          <w:ilvl w:val="2"/>
          <w:numId w:val="2"/>
        </w:numPr>
        <w:spacing w:before="120" w:after="120" w:line="360" w:lineRule="auto"/>
        <w:rPr>
          <w:rStyle w:val="28"/>
          <w:color w:val="auto"/>
          <w:sz w:val="28"/>
          <w:szCs w:val="28"/>
          <w:u w:val="none"/>
        </w:rPr>
      </w:pPr>
      <w:bookmarkStart w:id="29" w:name="_Toc12821"/>
      <w:r>
        <w:rPr>
          <w:rStyle w:val="28"/>
          <w:rFonts w:hint="eastAsia"/>
          <w:color w:val="auto"/>
          <w:sz w:val="28"/>
          <w:szCs w:val="28"/>
          <w:u w:val="none"/>
        </w:rPr>
        <w:t>草原类</w:t>
      </w:r>
      <w:bookmarkEnd w:id="29"/>
    </w:p>
    <w:p w14:paraId="642D104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的草原可以分为天然草地和人工草地，其中，天然草地有9种草原类，分别是温性草甸草原类、温性典型草原类、高寒草甸草原类、高寒典型草原类、高寒荒漠草原类、高寒草甸类、低地草甸类、山地草甸类和暖性灌草丛类。</w:t>
      </w:r>
    </w:p>
    <w:p w14:paraId="0332AEC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下表中的统计结果可知，昌都市草地以高寒草甸类为主，每个县（区）均有分布，面积有4056874.58公顷，占全市草地面积的79.66%。高寒典型草原类面积有453716.33公顷，占全市草地面积的8.91%，主要分布在丁青县、边坝县、八宿县。温性典型草原类面积249824.94公顷，占全市草地面积的4.91%，主要在察雅县、左贡县、八宿县和芒康县。高寒荒漠草原类面积186237.15公顷，占全市草地面积的3.66%，主要分布在丁青县。山地草甸类面积88448.23公顷，占全市草地面积的1.74%，主要分布在江达县、丁青县、八宿县、左贡县。低地草甸类在昌都市分布面积最小，面积为454.40公顷，占全市草地面积的0.01%，分布在江达县、察雅县和八宿县。</w:t>
      </w:r>
    </w:p>
    <w:p w14:paraId="7706E384">
      <w:pPr>
        <w:rPr>
          <w:rFonts w:ascii="Times New Roman" w:hAnsi="Times New Roman" w:eastAsia="黑体" w:cs="Times New Roman"/>
          <w:sz w:val="24"/>
          <w:szCs w:val="21"/>
        </w:rPr>
      </w:pPr>
      <w:r>
        <w:rPr>
          <w:rFonts w:ascii="Times New Roman" w:hAnsi="Times New Roman" w:eastAsia="黑体" w:cs="Times New Roman"/>
          <w:sz w:val="24"/>
          <w:szCs w:val="21"/>
        </w:rPr>
        <w:br w:type="page"/>
      </w:r>
    </w:p>
    <w:p w14:paraId="6EFA0B95">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表3-2昌都市各县（区）草原类分布情况统计表</w:t>
      </w:r>
    </w:p>
    <w:tbl>
      <w:tblPr>
        <w:tblStyle w:val="24"/>
        <w:tblW w:w="8981" w:type="dxa"/>
        <w:tblInd w:w="0" w:type="dxa"/>
        <w:tblLayout w:type="fixed"/>
        <w:tblCellMar>
          <w:top w:w="0" w:type="dxa"/>
          <w:left w:w="0" w:type="dxa"/>
          <w:bottom w:w="0" w:type="dxa"/>
          <w:right w:w="0" w:type="dxa"/>
        </w:tblCellMar>
      </w:tblPr>
      <w:tblGrid>
        <w:gridCol w:w="576"/>
        <w:gridCol w:w="852"/>
        <w:gridCol w:w="853"/>
        <w:gridCol w:w="852"/>
        <w:gridCol w:w="853"/>
        <w:gridCol w:w="852"/>
        <w:gridCol w:w="764"/>
        <w:gridCol w:w="636"/>
        <w:gridCol w:w="637"/>
        <w:gridCol w:w="694"/>
        <w:gridCol w:w="648"/>
        <w:gridCol w:w="764"/>
      </w:tblGrid>
      <w:tr w14:paraId="4D8156D1">
        <w:tblPrEx>
          <w:tblCellMar>
            <w:top w:w="0" w:type="dxa"/>
            <w:left w:w="0" w:type="dxa"/>
            <w:bottom w:w="0" w:type="dxa"/>
            <w:right w:w="0" w:type="dxa"/>
          </w:tblCellMar>
        </w:tblPrEx>
        <w:trPr>
          <w:trHeight w:val="285" w:hRule="atLeast"/>
        </w:trPr>
        <w:tc>
          <w:tcPr>
            <w:tcW w:w="576"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B02B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县（区）</w:t>
            </w:r>
          </w:p>
        </w:tc>
        <w:tc>
          <w:tcPr>
            <w:tcW w:w="7641"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C6441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草原类（公顷）</w:t>
            </w:r>
          </w:p>
        </w:tc>
        <w:tc>
          <w:tcPr>
            <w:tcW w:w="764"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BF2EB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总计（公顷）</w:t>
            </w:r>
          </w:p>
        </w:tc>
      </w:tr>
      <w:tr w14:paraId="0FC1DE2C">
        <w:tblPrEx>
          <w:tblCellMar>
            <w:top w:w="0" w:type="dxa"/>
            <w:left w:w="0" w:type="dxa"/>
            <w:bottom w:w="0" w:type="dxa"/>
            <w:right w:w="0" w:type="dxa"/>
          </w:tblCellMar>
        </w:tblPrEx>
        <w:trPr>
          <w:trHeight w:val="285" w:hRule="atLeast"/>
        </w:trPr>
        <w:tc>
          <w:tcPr>
            <w:tcW w:w="576"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CD228A">
            <w:pPr>
              <w:jc w:val="center"/>
              <w:rPr>
                <w:rFonts w:ascii="Times New Roman" w:hAnsi="Times New Roman" w:eastAsia="宋体" w:cs="Times New Roman"/>
                <w:sz w:val="15"/>
                <w:szCs w:val="15"/>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D7E40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温性草甸草原类1</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0AA06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温性典型草原类2</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B357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高寒草甸草原类4</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D5B5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高寒典型草原类5</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96738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高寒荒漠草原类6</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A0E6C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高寒草甸类7</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48F2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低地草甸类8</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822D3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山地草甸类9</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BE5A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暖性灌草丛类15</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68BDF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人工草地</w:t>
            </w:r>
          </w:p>
        </w:tc>
        <w:tc>
          <w:tcPr>
            <w:tcW w:w="764"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B42E5">
            <w:pPr>
              <w:jc w:val="center"/>
              <w:rPr>
                <w:rFonts w:ascii="Times New Roman" w:hAnsi="Times New Roman" w:eastAsia="宋体" w:cs="Times New Roman"/>
                <w:sz w:val="15"/>
                <w:szCs w:val="15"/>
              </w:rPr>
            </w:pPr>
          </w:p>
        </w:tc>
      </w:tr>
      <w:tr w14:paraId="45314492">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31BAF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卡若区</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A2E9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0E54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6061.09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29B80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330.96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7B04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5.00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15CAA">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417FB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328979.41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B469B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597E5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5104.56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72DD95">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51D80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131.83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0B76E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340612.85 </w:t>
            </w:r>
          </w:p>
        </w:tc>
      </w:tr>
      <w:tr w14:paraId="09642E37">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0C788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江达县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CD817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C8041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121.77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C335F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2373.46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9DD299">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0A77F6">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DBF85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726509.49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EE6E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355.94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BC1E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19807.98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13D9E0">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91E52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528.97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5E288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749697.61 </w:t>
            </w:r>
          </w:p>
        </w:tc>
      </w:tr>
      <w:tr w14:paraId="5720E8A6">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2D4E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贡觉县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325E2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589.21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40C3F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8300.76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D0390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138.22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3004E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8576.77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E99B03">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159AC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274300.84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0C9674">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0AF6E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7141.22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49518E">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D4011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41.37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35DB9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299088.39 </w:t>
            </w:r>
          </w:p>
        </w:tc>
      </w:tr>
      <w:tr w14:paraId="27CEB921">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5F80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类乌齐县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BA543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b/>
                <w:bCs/>
                <w:kern w:val="0"/>
                <w:sz w:val="15"/>
                <w:szCs w:val="15"/>
              </w:rPr>
              <w:t>/</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B6B59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923.57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FE677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145.19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621BB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1358.34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42467E">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5EB9D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307388.50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D7958">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F656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83.20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3F7123">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EAFB4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2452.90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E4BD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312351.70 </w:t>
            </w:r>
          </w:p>
        </w:tc>
      </w:tr>
      <w:tr w14:paraId="2E8A7912">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596F5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丁青县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37780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1326.70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9A7B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9309.38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6F434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12097.58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46CA0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163788.62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8CDF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131982.64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41C60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523986.01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7C4385">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22A2D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18918.27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CDA8F">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816E6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138.15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00CE0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861547.35 </w:t>
            </w:r>
          </w:p>
        </w:tc>
      </w:tr>
      <w:tr w14:paraId="2AE7388E">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AE3D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察雅县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1D06A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8181.29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EACBC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89640.18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8649F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746.74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BB93D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1150.41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2F9B8B">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1F5BE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329302.37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F6C26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60.62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4223A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5863.83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77A18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2978.57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DFA09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262.66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B99FF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438186.67 </w:t>
            </w:r>
          </w:p>
        </w:tc>
      </w:tr>
      <w:tr w14:paraId="40E4610A">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D9E27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八宿县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2D122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27.53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D2819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39383.71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FCCF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2601.58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996DC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93638.78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1D3092">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69720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485441.46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38635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37.84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EF620B">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16652.20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BCC50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AE7CF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934.24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857E3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638717.34 </w:t>
            </w:r>
          </w:p>
        </w:tc>
      </w:tr>
      <w:tr w14:paraId="46F4B6A7">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7CAB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左贡县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10F8B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3518.47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3BCE8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57738.72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A2429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3782.06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9B9F0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3120.97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3B032">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7E242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426210.03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AA3ED">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F4AD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11045.20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BAEF8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574.17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7ADBE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285.34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A13D3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506274.96 </w:t>
            </w:r>
          </w:p>
        </w:tc>
      </w:tr>
      <w:tr w14:paraId="7CFA024D">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53FA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芒康县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DBFC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5517.40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1A0A8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31469.74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BE3D0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92.45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B90D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1753.85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19BC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0E6D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230204.81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44380">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A03A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1907.13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0BDD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34.65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CE9B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986.90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696B6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271966.93 </w:t>
            </w:r>
          </w:p>
        </w:tc>
      </w:tr>
      <w:tr w14:paraId="2C2DC9CA">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59FD3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洛隆县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EA1F5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313.97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41A4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3876.48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B3CC2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87.32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F795D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44665.74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C83FD6">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8692.63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F1D8D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196005.82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BE964F">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9DC0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893.32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9A5B6D">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740E0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311.00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68F52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254846.28 </w:t>
            </w:r>
          </w:p>
        </w:tc>
      </w:tr>
      <w:tr w14:paraId="20D30D98">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D7EB3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边坝县</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0030CA">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338.12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27B1A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2999.54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B1AA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4726.31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ADA2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135657.85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63774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45561.88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ADD8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228545.84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17E1B">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A04A0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1031.32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C8EBE1">
            <w:pPr>
              <w:widowControl/>
              <w:jc w:val="center"/>
              <w:textAlignment w:val="center"/>
              <w:rPr>
                <w:rFonts w:ascii="Times New Roman" w:hAnsi="Times New Roman" w:eastAsia="宋体" w:cs="Times New Roman"/>
                <w:b/>
                <w:bCs/>
                <w:sz w:val="15"/>
                <w:szCs w:val="15"/>
              </w:rPr>
            </w:pPr>
            <w:r>
              <w:rPr>
                <w:rFonts w:ascii="Times New Roman" w:hAnsi="Times New Roman" w:eastAsia="宋体" w:cs="Times New Roman"/>
                <w:b/>
                <w:bCs/>
                <w:kern w:val="0"/>
                <w:sz w:val="15"/>
                <w:szCs w:val="15"/>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354B4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298.16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7B3CB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419159.02 </w:t>
            </w:r>
          </w:p>
        </w:tc>
      </w:tr>
      <w:tr w14:paraId="3D96E0AE">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474B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合计</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23B6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19812.69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1AA63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249824.94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59F5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27121.87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EF019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453716.33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9473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186237.15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16D74">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4056874.58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55E38F">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454.40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BD4AF3">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88448.23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9159FC">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3587.39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8C5BCE">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6371.52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ED3020">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5092449.10 </w:t>
            </w:r>
          </w:p>
        </w:tc>
      </w:tr>
      <w:tr w14:paraId="06B10467">
        <w:tblPrEx>
          <w:tblCellMar>
            <w:top w:w="0" w:type="dxa"/>
            <w:left w:w="0" w:type="dxa"/>
            <w:bottom w:w="0" w:type="dxa"/>
            <w:right w:w="0" w:type="dxa"/>
          </w:tblCellMar>
        </w:tblPrEx>
        <w:trPr>
          <w:trHeight w:val="285"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8D8F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占比%</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87065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0.39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D2662D">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4.91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80FA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0.53 </w:t>
            </w:r>
          </w:p>
        </w:tc>
        <w:tc>
          <w:tcPr>
            <w:tcW w:w="8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4C8C0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8.91 </w:t>
            </w:r>
          </w:p>
        </w:tc>
        <w:tc>
          <w:tcPr>
            <w:tcW w:w="85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394D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3.66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9F1D5">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79.66 </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82FCF2">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0.01 </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3457A8">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1.74 </w:t>
            </w:r>
          </w:p>
        </w:tc>
        <w:tc>
          <w:tcPr>
            <w:tcW w:w="69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1C3C9">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0.07 </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AD96D1">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0.13 </w:t>
            </w:r>
          </w:p>
        </w:tc>
        <w:tc>
          <w:tcPr>
            <w:tcW w:w="7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178147">
            <w:pPr>
              <w:widowControl/>
              <w:jc w:val="center"/>
              <w:textAlignment w:val="center"/>
              <w:rPr>
                <w:rFonts w:ascii="Times New Roman" w:hAnsi="Times New Roman" w:eastAsia="宋体" w:cs="Times New Roman"/>
                <w:sz w:val="15"/>
                <w:szCs w:val="15"/>
              </w:rPr>
            </w:pPr>
            <w:r>
              <w:rPr>
                <w:rFonts w:ascii="Times New Roman" w:hAnsi="Times New Roman" w:eastAsia="宋体" w:cs="Times New Roman"/>
                <w:kern w:val="0"/>
                <w:sz w:val="15"/>
                <w:szCs w:val="15"/>
              </w:rPr>
              <w:t xml:space="preserve">100.00 </w:t>
            </w:r>
          </w:p>
        </w:tc>
      </w:tr>
    </w:tbl>
    <w:p w14:paraId="37AB15BA">
      <w:pPr>
        <w:spacing w:line="360" w:lineRule="auto"/>
        <w:jc w:val="center"/>
        <w:rPr>
          <w:rFonts w:ascii="Times New Roman" w:hAnsi="Times New Roman" w:eastAsia="黑体" w:cs="Times New Roman"/>
          <w:sz w:val="24"/>
          <w:szCs w:val="21"/>
        </w:rPr>
      </w:pPr>
    </w:p>
    <w:p w14:paraId="18EA7B66">
      <w:pPr>
        <w:spacing w:line="360" w:lineRule="auto"/>
        <w:jc w:val="center"/>
        <w:rPr>
          <w:rFonts w:ascii="Times New Roman" w:hAnsi="Times New Roman" w:eastAsia="黑体" w:cs="Times New Roman"/>
          <w:sz w:val="24"/>
          <w:szCs w:val="21"/>
        </w:rPr>
      </w:pPr>
      <w:r>
        <w:drawing>
          <wp:inline distT="0" distB="0" distL="114300" distR="114300">
            <wp:extent cx="5680710" cy="3766185"/>
            <wp:effectExtent l="0" t="0" r="15240" b="5715"/>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5" cstate="print"/>
                    <a:stretch>
                      <a:fillRect/>
                    </a:stretch>
                  </pic:blipFill>
                  <pic:spPr>
                    <a:xfrm>
                      <a:off x="0" y="0"/>
                      <a:ext cx="5680710" cy="3766185"/>
                    </a:xfrm>
                    <a:prstGeom prst="rect">
                      <a:avLst/>
                    </a:prstGeom>
                    <a:noFill/>
                    <a:ln>
                      <a:noFill/>
                    </a:ln>
                  </pic:spPr>
                </pic:pic>
              </a:graphicData>
            </a:graphic>
          </wp:inline>
        </w:drawing>
      </w:r>
    </w:p>
    <w:p w14:paraId="4A80A73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图3-2昌都市草原类分布图</w:t>
      </w:r>
    </w:p>
    <w:p w14:paraId="1A13EEB0">
      <w:pPr>
        <w:pStyle w:val="4"/>
        <w:numPr>
          <w:ilvl w:val="2"/>
          <w:numId w:val="2"/>
        </w:numPr>
        <w:spacing w:before="120" w:after="120" w:line="360" w:lineRule="auto"/>
        <w:rPr>
          <w:rStyle w:val="28"/>
          <w:color w:val="auto"/>
          <w:sz w:val="28"/>
          <w:szCs w:val="28"/>
          <w:u w:val="none"/>
        </w:rPr>
      </w:pPr>
      <w:bookmarkStart w:id="30" w:name="_Toc20676"/>
      <w:r>
        <w:rPr>
          <w:rStyle w:val="28"/>
          <w:rFonts w:hint="eastAsia"/>
          <w:color w:val="auto"/>
          <w:sz w:val="28"/>
          <w:szCs w:val="28"/>
          <w:u w:val="none"/>
        </w:rPr>
        <w:t>草原型</w:t>
      </w:r>
      <w:bookmarkEnd w:id="30"/>
    </w:p>
    <w:p w14:paraId="5781921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昌都市境内有草原型19种，以“高山嵩草、杂类草型”、“高山嵩草型”和“具灌木的高山嵩草型”为主，占全市的69.25%。其中“高山嵩草、杂类草草原型”，分布面积达</w:t>
      </w:r>
      <w:r>
        <w:rPr>
          <w:rFonts w:ascii="Times New Roman" w:hAnsi="Times New Roman" w:eastAsia="宋体" w:cs="Times New Roman"/>
          <w:kern w:val="0"/>
          <w:sz w:val="24"/>
          <w:szCs w:val="24"/>
        </w:rPr>
        <w:t>1891116.41</w:t>
      </w:r>
      <w:r>
        <w:rPr>
          <w:rFonts w:hint="eastAsia" w:ascii="Times New Roman" w:hAnsi="Times New Roman" w:cs="Times New Roman"/>
          <w:sz w:val="24"/>
          <w:szCs w:val="24"/>
        </w:rPr>
        <w:t>公顷，占全市草地面积的37.14%，主要分布在江达县、察雅县、左贡县、丁青县、八宿县；其次是“高山嵩草型”和“具灌木的高山嵩草型”草原型，分布面积分别为</w:t>
      </w:r>
      <w:r>
        <w:rPr>
          <w:rFonts w:ascii="Times New Roman" w:hAnsi="Times New Roman" w:eastAsia="宋体" w:cs="Times New Roman"/>
          <w:kern w:val="0"/>
          <w:sz w:val="24"/>
          <w:szCs w:val="24"/>
        </w:rPr>
        <w:t>1147071.03</w:t>
      </w:r>
      <w:r>
        <w:rPr>
          <w:rFonts w:hint="eastAsia" w:ascii="Times New Roman" w:hAnsi="Times New Roman" w:cs="Times New Roman"/>
          <w:sz w:val="24"/>
          <w:szCs w:val="24"/>
        </w:rPr>
        <w:t>公顷和</w:t>
      </w:r>
      <w:r>
        <w:rPr>
          <w:rFonts w:ascii="Times New Roman" w:hAnsi="Times New Roman" w:eastAsia="宋体" w:cs="Times New Roman"/>
          <w:kern w:val="0"/>
          <w:sz w:val="24"/>
          <w:szCs w:val="24"/>
        </w:rPr>
        <w:t>488169.17</w:t>
      </w:r>
      <w:r>
        <w:rPr>
          <w:rFonts w:hint="eastAsia" w:ascii="Times New Roman" w:hAnsi="Times New Roman" w:cs="Times New Roman"/>
          <w:sz w:val="24"/>
          <w:szCs w:val="24"/>
        </w:rPr>
        <w:t>公顷，分别占全市草地面积的22.52%、9.59%，“高山嵩草型”主要分布在八宿县、丁青县、类乌齐县、贡觉县、芒康县，“具灌木的高山嵩草型”主要分布在江达县、卡若区、类乌齐县、边坝县；分布面积最小的草原型是“具灌木的疏花早熟禾型”，分布面积为1065.22公顷，占全市草地面积的0.02%，分布在江达县。</w:t>
      </w:r>
    </w:p>
    <w:p w14:paraId="5EC40EEB">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表3-3昌都市草原型分布情况统计表</w:t>
      </w:r>
    </w:p>
    <w:tbl>
      <w:tblPr>
        <w:tblStyle w:val="24"/>
        <w:tblW w:w="8981" w:type="dxa"/>
        <w:tblInd w:w="0" w:type="dxa"/>
        <w:tblLayout w:type="fixed"/>
        <w:tblCellMar>
          <w:top w:w="0" w:type="dxa"/>
          <w:left w:w="0" w:type="dxa"/>
          <w:bottom w:w="0" w:type="dxa"/>
          <w:right w:w="0" w:type="dxa"/>
        </w:tblCellMar>
      </w:tblPr>
      <w:tblGrid>
        <w:gridCol w:w="4309"/>
        <w:gridCol w:w="2336"/>
        <w:gridCol w:w="2336"/>
      </w:tblGrid>
      <w:tr w14:paraId="3E643D60">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429DE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草原型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A6D5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ED0C3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占比（%）</w:t>
            </w:r>
          </w:p>
        </w:tc>
      </w:tr>
      <w:tr w14:paraId="00A11DC8">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6F896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A7C1C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488169.17</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26A3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9.59 </w:t>
            </w:r>
          </w:p>
        </w:tc>
      </w:tr>
      <w:tr w14:paraId="4B0D336E">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A779D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具灌木的青藏苔草型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292B5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51231.46</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4C846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1.01 </w:t>
            </w:r>
          </w:p>
        </w:tc>
      </w:tr>
      <w:tr w14:paraId="1234CF84">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52823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B3491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1891116.41</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1CE51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37.14 </w:t>
            </w:r>
          </w:p>
        </w:tc>
      </w:tr>
      <w:tr w14:paraId="09D0DD75">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C89D5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2F290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1147071.03</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3E15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22.52 </w:t>
            </w:r>
          </w:p>
        </w:tc>
      </w:tr>
      <w:tr w14:paraId="6602647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47D1D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688A3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15954.90</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A910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0.31 </w:t>
            </w:r>
          </w:p>
        </w:tc>
      </w:tr>
      <w:tr w14:paraId="24CF3EB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49DE1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02AB6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10784.86</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8E01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0.21 </w:t>
            </w:r>
          </w:p>
        </w:tc>
      </w:tr>
      <w:tr w14:paraId="36BF23E1">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DA6D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69F7F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25454.99</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17077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0.50 </w:t>
            </w:r>
          </w:p>
        </w:tc>
      </w:tr>
      <w:tr w14:paraId="0512B908">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B18DE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B9FB1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349218.77</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770C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6.86 </w:t>
            </w:r>
          </w:p>
        </w:tc>
      </w:tr>
      <w:tr w14:paraId="6A059A73">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35D59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A9EA5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19147.98</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5167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0.38 </w:t>
            </w:r>
          </w:p>
        </w:tc>
      </w:tr>
      <w:tr w14:paraId="4B21334F">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3417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69451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6603.81</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0337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0.13 </w:t>
            </w:r>
          </w:p>
        </w:tc>
      </w:tr>
      <w:tr w14:paraId="64FD04E6">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61EA3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F86C8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122577.32</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5DC07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2.41 </w:t>
            </w:r>
          </w:p>
        </w:tc>
      </w:tr>
      <w:tr w14:paraId="59E9EA6C">
        <w:tblPrEx>
          <w:tblCellMar>
            <w:top w:w="0" w:type="dxa"/>
            <w:left w:w="0" w:type="dxa"/>
            <w:bottom w:w="0" w:type="dxa"/>
            <w:right w:w="0" w:type="dxa"/>
          </w:tblCellMar>
        </w:tblPrEx>
        <w:trPr>
          <w:trHeight w:val="282"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E3023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9A73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46777.76</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A5A72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0.92 </w:t>
            </w:r>
          </w:p>
        </w:tc>
      </w:tr>
      <w:tr w14:paraId="2E5A417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0EAB3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具灌木的疏花早熟禾型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42F7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1065.22</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4B125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0.02 </w:t>
            </w:r>
          </w:p>
        </w:tc>
      </w:tr>
      <w:tr w14:paraId="5718A19F">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9E536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CB118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61952.83</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C5C7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1.22 </w:t>
            </w:r>
          </w:p>
        </w:tc>
      </w:tr>
      <w:tr w14:paraId="7EF6F72D">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D5691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蒿、杂类草型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9AD69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4467.05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E6B9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58615943">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B929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61012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272118.25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3C036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5.34 </w:t>
            </w:r>
          </w:p>
        </w:tc>
      </w:tr>
      <w:tr w14:paraId="702C6764">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E5767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71DC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4577.54</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BDB9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21FD1F33">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07BB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高山嵩草、异针茅型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37C2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4561.77</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2942B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5F31B7DC">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C9C75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青藏苔草、垫状驼绒藜型</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05A5A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177407.78</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9BF36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3.48 </w:t>
            </w:r>
          </w:p>
        </w:tc>
      </w:tr>
      <w:tr w14:paraId="38ACC55E">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867E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265F0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388043.85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AC61C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7.62 </w:t>
            </w:r>
          </w:p>
        </w:tc>
      </w:tr>
      <w:tr w14:paraId="38DEF3BB">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3D043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D43F7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4146.35</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3EEF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0.08 </w:t>
            </w:r>
          </w:p>
        </w:tc>
      </w:tr>
      <w:tr w14:paraId="42D6F41C">
        <w:tblPrEx>
          <w:tblCellMar>
            <w:top w:w="0" w:type="dxa"/>
            <w:left w:w="0" w:type="dxa"/>
            <w:bottom w:w="0" w:type="dxa"/>
            <w:right w:w="0" w:type="dxa"/>
          </w:tblCellMar>
        </w:tblPrEx>
        <w:trPr>
          <w:trHeight w:val="285" w:hRule="atLeast"/>
        </w:trPr>
        <w:tc>
          <w:tcPr>
            <w:tcW w:w="430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81AE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61B6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5092449.10</w:t>
            </w:r>
          </w:p>
        </w:tc>
        <w:tc>
          <w:tcPr>
            <w:tcW w:w="23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DA1FE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100.00 </w:t>
            </w:r>
          </w:p>
        </w:tc>
      </w:tr>
    </w:tbl>
    <w:p w14:paraId="5D4A5F5F">
      <w:pPr>
        <w:spacing w:line="360" w:lineRule="auto"/>
        <w:jc w:val="center"/>
        <w:rPr>
          <w:rFonts w:ascii="Times New Roman" w:hAnsi="Times New Roman" w:eastAsia="黑体" w:cs="Times New Roman"/>
          <w:sz w:val="24"/>
          <w:szCs w:val="21"/>
        </w:rPr>
      </w:pPr>
    </w:p>
    <w:p w14:paraId="228B6B5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表3-4昌都市各县（区）草原型分布情况统计表</w:t>
      </w:r>
    </w:p>
    <w:tbl>
      <w:tblPr>
        <w:tblStyle w:val="24"/>
        <w:tblW w:w="8981" w:type="dxa"/>
        <w:tblInd w:w="0" w:type="dxa"/>
        <w:tblLayout w:type="fixed"/>
        <w:tblCellMar>
          <w:top w:w="0" w:type="dxa"/>
          <w:left w:w="0" w:type="dxa"/>
          <w:bottom w:w="0" w:type="dxa"/>
          <w:right w:w="0" w:type="dxa"/>
        </w:tblCellMar>
      </w:tblPr>
      <w:tblGrid>
        <w:gridCol w:w="1110"/>
        <w:gridCol w:w="2200"/>
        <w:gridCol w:w="1181"/>
        <w:gridCol w:w="1019"/>
        <w:gridCol w:w="2350"/>
        <w:gridCol w:w="1121"/>
      </w:tblGrid>
      <w:tr w14:paraId="542B2A21">
        <w:tblPrEx>
          <w:tblCellMar>
            <w:top w:w="0" w:type="dxa"/>
            <w:left w:w="0" w:type="dxa"/>
            <w:bottom w:w="0" w:type="dxa"/>
            <w:right w:w="0" w:type="dxa"/>
          </w:tblCellMar>
        </w:tblPrEx>
        <w:trPr>
          <w:trHeight w:val="270" w:hRule="atLeast"/>
        </w:trPr>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D49A7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22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23101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草原型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BCBB06">
            <w:pPr>
              <w:widowControl/>
              <w:spacing w:line="240" w:lineRule="exact"/>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面积</w:t>
            </w:r>
          </w:p>
          <w:p w14:paraId="16BF48C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（公顷）</w:t>
            </w:r>
          </w:p>
        </w:tc>
        <w:tc>
          <w:tcPr>
            <w:tcW w:w="101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54F84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23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1263B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草原型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FC057B">
            <w:pPr>
              <w:widowControl/>
              <w:spacing w:line="240" w:lineRule="exact"/>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面积</w:t>
            </w:r>
          </w:p>
          <w:p w14:paraId="2F1021D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（公顷）</w:t>
            </w:r>
          </w:p>
        </w:tc>
      </w:tr>
      <w:tr w14:paraId="3F566279">
        <w:tblPrEx>
          <w:tblCellMar>
            <w:top w:w="0" w:type="dxa"/>
            <w:left w:w="0" w:type="dxa"/>
            <w:bottom w:w="0" w:type="dxa"/>
            <w:right w:w="0" w:type="dxa"/>
          </w:tblCellMar>
        </w:tblPrEx>
        <w:trPr>
          <w:trHeight w:val="353"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3B5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58A9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C8179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115376.2</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66CB9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9E2C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具灌木的青藏苔草型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0D6F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18465</w:t>
            </w:r>
          </w:p>
        </w:tc>
      </w:tr>
      <w:tr w14:paraId="302C7E26">
        <w:tblPrEx>
          <w:tblCellMar>
            <w:top w:w="0" w:type="dxa"/>
            <w:left w:w="0" w:type="dxa"/>
            <w:bottom w:w="0" w:type="dxa"/>
            <w:right w:w="0" w:type="dxa"/>
          </w:tblCellMar>
        </w:tblPrEx>
        <w:trPr>
          <w:trHeight w:val="336"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78221B">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F5976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EE23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105860.28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05EA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B4431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10FA6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219115.08</w:t>
            </w:r>
          </w:p>
        </w:tc>
      </w:tr>
      <w:tr w14:paraId="263F7695">
        <w:tblPrEx>
          <w:tblCellMar>
            <w:top w:w="0" w:type="dxa"/>
            <w:left w:w="0" w:type="dxa"/>
            <w:bottom w:w="0" w:type="dxa"/>
            <w:right w:w="0" w:type="dxa"/>
          </w:tblCellMar>
        </w:tblPrEx>
        <w:trPr>
          <w:trHeight w:val="32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5768B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ADEAB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BD6E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99614.69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2BD6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9CE4F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88E4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191722.58</w:t>
            </w:r>
          </w:p>
        </w:tc>
      </w:tr>
      <w:tr w14:paraId="0D867007">
        <w:tblPrEx>
          <w:tblCellMar>
            <w:top w:w="0" w:type="dxa"/>
            <w:left w:w="0" w:type="dxa"/>
            <w:bottom w:w="0" w:type="dxa"/>
            <w:right w:w="0" w:type="dxa"/>
          </w:tblCellMar>
        </w:tblPrEx>
        <w:trPr>
          <w:trHeight w:val="34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D1776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1339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C0BA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2736.94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E14F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1D44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DFCC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80581.92</w:t>
            </w:r>
          </w:p>
        </w:tc>
      </w:tr>
      <w:tr w14:paraId="716FAA0F">
        <w:tblPrEx>
          <w:tblCellMar>
            <w:top w:w="0" w:type="dxa"/>
            <w:left w:w="0" w:type="dxa"/>
            <w:bottom w:w="0" w:type="dxa"/>
            <w:right w:w="0" w:type="dxa"/>
          </w:tblCellMar>
        </w:tblPrEx>
        <w:trPr>
          <w:trHeight w:val="38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5861F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4FD70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3DA9E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1714.23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A1724C">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B5147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9905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7532.43</w:t>
            </w:r>
          </w:p>
        </w:tc>
      </w:tr>
      <w:tr w14:paraId="0963A877">
        <w:tblPrEx>
          <w:tblCellMar>
            <w:top w:w="0" w:type="dxa"/>
            <w:left w:w="0" w:type="dxa"/>
            <w:bottom w:w="0" w:type="dxa"/>
            <w:right w:w="0" w:type="dxa"/>
          </w:tblCellMar>
        </w:tblPrEx>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71609">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5D1A9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C14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3762.95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E5154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51BE7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1BB9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7471.38</w:t>
            </w:r>
          </w:p>
        </w:tc>
      </w:tr>
      <w:tr w14:paraId="4F08EFBF">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29FF5B">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8D2EA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5ECB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8090.04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198A7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B5C8D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DC6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138.15</w:t>
            </w:r>
          </w:p>
        </w:tc>
      </w:tr>
      <w:tr w14:paraId="43FF40A7">
        <w:tblPrEx>
          <w:tblCellMar>
            <w:top w:w="0" w:type="dxa"/>
            <w:left w:w="0" w:type="dxa"/>
            <w:bottom w:w="0" w:type="dxa"/>
            <w:right w:w="0" w:type="dxa"/>
          </w:tblCellMar>
        </w:tblPrEx>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EEC146">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03E49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8CA1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343.99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6B5A7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3CE30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8E301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125312.33</w:t>
            </w:r>
          </w:p>
        </w:tc>
      </w:tr>
      <w:tr w14:paraId="0309BC17">
        <w:tblPrEx>
          <w:tblCellMar>
            <w:top w:w="0" w:type="dxa"/>
            <w:left w:w="0" w:type="dxa"/>
            <w:bottom w:w="0" w:type="dxa"/>
            <w:right w:w="0" w:type="dxa"/>
          </w:tblCellMar>
        </w:tblPrEx>
        <w:trPr>
          <w:trHeight w:val="34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DAB82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01BB2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F192C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583.48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16907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96BB1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青藏苔草、垫状驼绒藜型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6594C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131845.9</w:t>
            </w:r>
          </w:p>
        </w:tc>
      </w:tr>
      <w:tr w14:paraId="05F24843">
        <w:tblPrEx>
          <w:tblCellMar>
            <w:top w:w="0" w:type="dxa"/>
            <w:left w:w="0" w:type="dxa"/>
            <w:bottom w:w="0" w:type="dxa"/>
            <w:right w:w="0" w:type="dxa"/>
          </w:tblCellMar>
        </w:tblPrEx>
        <w:trPr>
          <w:trHeight w:val="37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D516C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FC6AB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3C07E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2209.08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B2C27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12A4C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1A3A4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79362.58</w:t>
            </w:r>
          </w:p>
        </w:tc>
      </w:tr>
      <w:tr w14:paraId="4CB674F0">
        <w:tblPrEx>
          <w:tblCellMar>
            <w:top w:w="0" w:type="dxa"/>
            <w:left w:w="0" w:type="dxa"/>
            <w:bottom w:w="0" w:type="dxa"/>
            <w:right w:w="0" w:type="dxa"/>
          </w:tblCellMar>
        </w:tblPrEx>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D7C46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CA6D3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0DB23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131.83</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8EA84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DEEA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D7FA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305373.67</w:t>
            </w:r>
          </w:p>
        </w:tc>
      </w:tr>
      <w:tr w14:paraId="5291CB1B">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3823B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83359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A3DD7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189.14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779F77">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F0B18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0E9B9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8145.94</w:t>
            </w:r>
          </w:p>
        </w:tc>
      </w:tr>
      <w:tr w14:paraId="6EE352B9">
        <w:tblPrEx>
          <w:tblCellMar>
            <w:top w:w="0" w:type="dxa"/>
            <w:left w:w="0" w:type="dxa"/>
            <w:bottom w:w="0" w:type="dxa"/>
            <w:right w:w="0" w:type="dxa"/>
          </w:tblCellMar>
        </w:tblPrEx>
        <w:trPr>
          <w:trHeight w:val="382"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60F14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C1327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F6410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118955.35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0FE3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87E56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3C7DE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19550.27</w:t>
            </w:r>
          </w:p>
        </w:tc>
      </w:tr>
      <w:tr w14:paraId="5396D1C5">
        <w:tblPrEx>
          <w:tblCellMar>
            <w:top w:w="0" w:type="dxa"/>
            <w:left w:w="0" w:type="dxa"/>
            <w:bottom w:w="0" w:type="dxa"/>
            <w:right w:w="0" w:type="dxa"/>
          </w:tblCellMar>
        </w:tblPrEx>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8BF7C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1A8A7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038E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604937.04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87019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6BFC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30CF5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2168.7</w:t>
            </w:r>
          </w:p>
        </w:tc>
      </w:tr>
      <w:tr w14:paraId="5AFA0A32">
        <w:tblPrEx>
          <w:tblCellMar>
            <w:top w:w="0" w:type="dxa"/>
            <w:left w:w="0" w:type="dxa"/>
            <w:bottom w:w="0" w:type="dxa"/>
            <w:right w:w="0" w:type="dxa"/>
          </w:tblCellMar>
        </w:tblPrEx>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6E7CB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ACCCD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307ED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3000.9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2BADC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2553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0E923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64924.47</w:t>
            </w:r>
          </w:p>
        </w:tc>
      </w:tr>
      <w:tr w14:paraId="2051BD37">
        <w:tblPrEx>
          <w:tblCellMar>
            <w:top w:w="0" w:type="dxa"/>
            <w:left w:w="0" w:type="dxa"/>
            <w:bottom w:w="0" w:type="dxa"/>
            <w:right w:w="0" w:type="dxa"/>
          </w:tblCellMar>
        </w:tblPrEx>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40CF9">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72B2A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8C349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7048.89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7D455F">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5F60B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02E6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38023.62</w:t>
            </w:r>
          </w:p>
        </w:tc>
      </w:tr>
      <w:tr w14:paraId="3478E05C">
        <w:tblPrEx>
          <w:tblCellMar>
            <w:top w:w="0" w:type="dxa"/>
            <w:left w:w="0" w:type="dxa"/>
            <w:bottom w:w="0" w:type="dxa"/>
            <w:right w:w="0" w:type="dxa"/>
          </w:tblCellMar>
        </w:tblPrEx>
        <w:trPr>
          <w:trHeight w:val="39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78C06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2A451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3B28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5957.34</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9B2D2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1E960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3123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39525.94</w:t>
            </w:r>
          </w:p>
        </w:tc>
      </w:tr>
      <w:tr w14:paraId="4DD00CDB">
        <w:tblPrEx>
          <w:tblCellMar>
            <w:top w:w="0" w:type="dxa"/>
            <w:left w:w="0" w:type="dxa"/>
            <w:bottom w:w="0" w:type="dxa"/>
            <w:right w:w="0" w:type="dxa"/>
          </w:tblCellMar>
        </w:tblPrEx>
        <w:trPr>
          <w:trHeight w:val="39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4B905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2B26B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4E4DF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2655.7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936A9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DBBA6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C3F77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201007.93</w:t>
            </w:r>
          </w:p>
        </w:tc>
      </w:tr>
      <w:tr w14:paraId="2A5CDE5D">
        <w:tblPrEx>
          <w:tblCellMar>
            <w:top w:w="0" w:type="dxa"/>
            <w:left w:w="0" w:type="dxa"/>
            <w:bottom w:w="0" w:type="dxa"/>
            <w:right w:w="0" w:type="dxa"/>
          </w:tblCellMar>
        </w:tblPrEx>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EDEAC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E814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BE611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108.41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C1018">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21493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7E9F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241399.09</w:t>
            </w:r>
          </w:p>
        </w:tc>
      </w:tr>
      <w:tr w14:paraId="69B2FC85">
        <w:tblPrEx>
          <w:tblCellMar>
            <w:top w:w="0" w:type="dxa"/>
            <w:left w:w="0" w:type="dxa"/>
            <w:bottom w:w="0" w:type="dxa"/>
            <w:right w:w="0" w:type="dxa"/>
          </w:tblCellMar>
        </w:tblPrEx>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431D9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6D43D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8195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528.97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FA8FB0">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02731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5AD5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3075.77</w:t>
            </w:r>
          </w:p>
        </w:tc>
      </w:tr>
      <w:tr w14:paraId="5F2B38BD">
        <w:tblPrEx>
          <w:tblCellMar>
            <w:top w:w="0" w:type="dxa"/>
            <w:left w:w="0" w:type="dxa"/>
            <w:bottom w:w="0" w:type="dxa"/>
            <w:right w:w="0" w:type="dxa"/>
          </w:tblCellMar>
        </w:tblPrEx>
        <w:trPr>
          <w:trHeight w:val="387"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80978">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D0CC9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08C2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1416.08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CECB7">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77208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丝颖针茅、杂类草型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FD82C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3145.52</w:t>
            </w:r>
          </w:p>
        </w:tc>
      </w:tr>
      <w:tr w14:paraId="06702B22">
        <w:tblPrEx>
          <w:tblCellMar>
            <w:top w:w="0" w:type="dxa"/>
            <w:left w:w="0" w:type="dxa"/>
            <w:bottom w:w="0" w:type="dxa"/>
            <w:right w:w="0" w:type="dxa"/>
          </w:tblCellMar>
        </w:tblPrEx>
        <w:trPr>
          <w:trHeight w:val="34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CD4B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9B242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具灌木的疏花早熟禾型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EEF68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1065.22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F9F3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741D1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F8DA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25168.9</w:t>
            </w:r>
          </w:p>
        </w:tc>
      </w:tr>
      <w:tr w14:paraId="46CD984B">
        <w:tblPrEx>
          <w:tblCellMar>
            <w:top w:w="0" w:type="dxa"/>
            <w:left w:w="0" w:type="dxa"/>
            <w:bottom w:w="0" w:type="dxa"/>
            <w:right w:w="0" w:type="dxa"/>
          </w:tblCellMar>
        </w:tblPrEx>
        <w:trPr>
          <w:trHeight w:val="35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00DAF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35335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A63C3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4023.71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0A3C7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ED1A4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ED06C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2403.55</w:t>
            </w:r>
          </w:p>
        </w:tc>
      </w:tr>
      <w:tr w14:paraId="3C880054">
        <w:tblPrEx>
          <w:tblCellMar>
            <w:top w:w="0" w:type="dxa"/>
            <w:left w:w="0" w:type="dxa"/>
            <w:bottom w:w="0" w:type="dxa"/>
            <w:right w:w="0" w:type="dxa"/>
          </w:tblCellMar>
        </w:tblPrEx>
        <w:trPr>
          <w:trHeight w:val="382"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09659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979A1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46903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22625.45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B9FF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6A946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A5DCF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122990.64</w:t>
            </w:r>
          </w:p>
        </w:tc>
      </w:tr>
      <w:tr w14:paraId="5CD5E8B9">
        <w:tblPrEx>
          <w:tblCellMar>
            <w:top w:w="0" w:type="dxa"/>
            <w:left w:w="0" w:type="dxa"/>
            <w:bottom w:w="0" w:type="dxa"/>
            <w:right w:w="0" w:type="dxa"/>
          </w:tblCellMar>
        </w:tblPrEx>
        <w:trPr>
          <w:trHeight w:val="34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9ECE51">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5EF9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7BFC5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8247.12</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9B30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A3D18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3BAE4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21115.66</w:t>
            </w:r>
          </w:p>
        </w:tc>
      </w:tr>
      <w:tr w14:paraId="48EFA42A">
        <w:tblPrEx>
          <w:tblCellMar>
            <w:top w:w="0" w:type="dxa"/>
            <w:left w:w="0" w:type="dxa"/>
            <w:bottom w:w="0" w:type="dxa"/>
            <w:right w:w="0" w:type="dxa"/>
          </w:tblCellMar>
        </w:tblPrEx>
        <w:trPr>
          <w:trHeight w:val="34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A7604B">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7288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3789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171611.14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D54DFC">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8E994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B3D1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289319.61</w:t>
            </w:r>
          </w:p>
        </w:tc>
      </w:tr>
      <w:tr w14:paraId="2F78C996">
        <w:tblPrEx>
          <w:tblCellMar>
            <w:top w:w="0" w:type="dxa"/>
            <w:left w:w="0" w:type="dxa"/>
            <w:bottom w:w="0" w:type="dxa"/>
            <w:right w:w="0" w:type="dxa"/>
          </w:tblCellMar>
        </w:tblPrEx>
        <w:trPr>
          <w:trHeight w:val="366"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02ED8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246DD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C2107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1644.3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528763">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AD9BF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F68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67887.12</w:t>
            </w:r>
          </w:p>
        </w:tc>
      </w:tr>
      <w:tr w14:paraId="22D6AC3C">
        <w:tblPrEx>
          <w:tblCellMar>
            <w:top w:w="0" w:type="dxa"/>
            <w:left w:w="0" w:type="dxa"/>
            <w:bottom w:w="0" w:type="dxa"/>
            <w:right w:w="0" w:type="dxa"/>
          </w:tblCellMar>
        </w:tblPrEx>
        <w:trPr>
          <w:trHeight w:val="361"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159E7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906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51E05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2021.74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4929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EE6FD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85131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4910.87</w:t>
            </w:r>
          </w:p>
        </w:tc>
      </w:tr>
      <w:tr w14:paraId="630CA970">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73D5B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6ACCA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35CAE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34929.48</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FC75D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845AB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早熟禾、杂类草型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DE027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3364.63</w:t>
            </w:r>
          </w:p>
        </w:tc>
      </w:tr>
      <w:tr w14:paraId="73385AD9">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1C11F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AF3D9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799D7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35139.66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129DD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34045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E19B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19614.08</w:t>
            </w:r>
          </w:p>
        </w:tc>
      </w:tr>
      <w:tr w14:paraId="58CF48F7">
        <w:tblPrEx>
          <w:tblCellMar>
            <w:top w:w="0" w:type="dxa"/>
            <w:left w:w="0" w:type="dxa"/>
            <w:bottom w:w="0" w:type="dxa"/>
            <w:right w:w="0" w:type="dxa"/>
          </w:tblCellMar>
        </w:tblPrEx>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3C2CD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AAA43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FEB8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4467.05</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4F191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8495C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2E9CF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285.34</w:t>
            </w:r>
          </w:p>
        </w:tc>
      </w:tr>
      <w:tr w14:paraId="1B9ABC40">
        <w:tblPrEx>
          <w:tblCellMar>
            <w:top w:w="0" w:type="dxa"/>
            <w:left w:w="0" w:type="dxa"/>
            <w:bottom w:w="0" w:type="dxa"/>
            <w:right w:w="0" w:type="dxa"/>
          </w:tblCellMar>
        </w:tblPrEx>
        <w:trPr>
          <w:trHeight w:val="370"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90703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4E8BA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7E71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8576.77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4D5968">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09EBB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2E2F3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38439.92</w:t>
            </w:r>
          </w:p>
        </w:tc>
      </w:tr>
      <w:tr w14:paraId="7D1415B1">
        <w:tblPrEx>
          <w:tblCellMar>
            <w:top w:w="0" w:type="dxa"/>
            <w:left w:w="0" w:type="dxa"/>
            <w:bottom w:w="0" w:type="dxa"/>
            <w:right w:w="0" w:type="dxa"/>
          </w:tblCellMar>
        </w:tblPrEx>
        <w:trPr>
          <w:trHeight w:val="35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10798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FC186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21AB6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2000.22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86D425">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263F6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8B481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61337.73</w:t>
            </w:r>
          </w:p>
        </w:tc>
      </w:tr>
      <w:tr w14:paraId="46FA73FA">
        <w:tblPrEx>
          <w:tblCellMar>
            <w:top w:w="0" w:type="dxa"/>
            <w:left w:w="0" w:type="dxa"/>
            <w:bottom w:w="0" w:type="dxa"/>
            <w:right w:w="0" w:type="dxa"/>
          </w:tblCellMar>
        </w:tblPrEx>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51106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BABDA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B7B9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7825.46</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85083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07F6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70D94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17678.38</w:t>
            </w:r>
          </w:p>
        </w:tc>
      </w:tr>
      <w:tr w14:paraId="6736EC78">
        <w:tblPrEx>
          <w:tblCellMar>
            <w:top w:w="0" w:type="dxa"/>
            <w:left w:w="0" w:type="dxa"/>
            <w:bottom w:w="0" w:type="dxa"/>
            <w:right w:w="0" w:type="dxa"/>
          </w:tblCellMar>
        </w:tblPrEx>
        <w:trPr>
          <w:trHeight w:val="399"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7A14F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9024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A35E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67978.83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B0EDF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E5DDE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7FDC7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28809.1</w:t>
            </w:r>
          </w:p>
        </w:tc>
      </w:tr>
      <w:tr w14:paraId="570073FA">
        <w:tblPrEx>
          <w:tblCellMar>
            <w:top w:w="0" w:type="dxa"/>
            <w:left w:w="0" w:type="dxa"/>
            <w:bottom w:w="0" w:type="dxa"/>
            <w:right w:w="0" w:type="dxa"/>
          </w:tblCellMar>
        </w:tblPrEx>
        <w:trPr>
          <w:trHeight w:val="39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71B64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80FC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40807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16104.2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4DD0B0">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2CDF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445DF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154323.26</w:t>
            </w:r>
          </w:p>
        </w:tc>
      </w:tr>
      <w:tr w14:paraId="7A2DAC41">
        <w:tblPrEx>
          <w:tblCellMar>
            <w:top w:w="0" w:type="dxa"/>
            <w:left w:w="0" w:type="dxa"/>
            <w:bottom w:w="0" w:type="dxa"/>
            <w:right w:w="0" w:type="dxa"/>
          </w:tblCellMar>
        </w:tblPrEx>
        <w:trPr>
          <w:trHeight w:val="32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56307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ECE5A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F7ABF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175272.46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EE882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26D0E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E51FF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14541.57</w:t>
            </w:r>
          </w:p>
        </w:tc>
      </w:tr>
      <w:tr w14:paraId="38628FA6">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4F9BDF">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BDB51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6A4CF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30260.74</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820082">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363A8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84589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621.8</w:t>
            </w:r>
          </w:p>
        </w:tc>
      </w:tr>
      <w:tr w14:paraId="266F5027">
        <w:tblPrEx>
          <w:tblCellMar>
            <w:top w:w="0" w:type="dxa"/>
            <w:left w:w="0" w:type="dxa"/>
            <w:bottom w:w="0" w:type="dxa"/>
            <w:right w:w="0" w:type="dxa"/>
          </w:tblCellMar>
        </w:tblPrEx>
        <w:trPr>
          <w:trHeight w:val="35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A6A445">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A5D83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BFE4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2452.9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25156C">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BE2A0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A6391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14282.71</w:t>
            </w:r>
          </w:p>
        </w:tc>
      </w:tr>
      <w:tr w14:paraId="639E4960">
        <w:tblPrEx>
          <w:tblCellMar>
            <w:top w:w="0" w:type="dxa"/>
            <w:left w:w="0" w:type="dxa"/>
            <w:bottom w:w="0" w:type="dxa"/>
            <w:right w:w="0" w:type="dxa"/>
          </w:tblCellMar>
        </w:tblPrEx>
        <w:trPr>
          <w:trHeight w:val="39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B51BA">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899035">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EB673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507.3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EED91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C6EFB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6C265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1427.25</w:t>
            </w:r>
          </w:p>
        </w:tc>
      </w:tr>
      <w:tr w14:paraId="17716577">
        <w:tblPrEx>
          <w:tblCellMar>
            <w:top w:w="0" w:type="dxa"/>
            <w:left w:w="0" w:type="dxa"/>
            <w:bottom w:w="0" w:type="dxa"/>
            <w:right w:w="0" w:type="dxa"/>
          </w:tblCellMar>
        </w:tblPrEx>
        <w:trPr>
          <w:trHeight w:val="363"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7A21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5F3EE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03416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12530.46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AEDE7E">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ABE60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3EF5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40282.86</w:t>
            </w:r>
          </w:p>
        </w:tc>
      </w:tr>
      <w:tr w14:paraId="1CF9A11A">
        <w:tblPrEx>
          <w:tblCellMar>
            <w:top w:w="0" w:type="dxa"/>
            <w:left w:w="0" w:type="dxa"/>
            <w:bottom w:w="0" w:type="dxa"/>
            <w:right w:w="0" w:type="dxa"/>
          </w:tblCellMar>
        </w:tblPrEx>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90EAD8">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8058D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DE4FE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1320.38</w:t>
            </w:r>
          </w:p>
        </w:tc>
        <w:tc>
          <w:tcPr>
            <w:tcW w:w="1019"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F04CC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3DDBE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966B0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48838.3</w:t>
            </w:r>
          </w:p>
        </w:tc>
      </w:tr>
      <w:tr w14:paraId="32281277">
        <w:tblPrEx>
          <w:tblCellMar>
            <w:top w:w="0" w:type="dxa"/>
            <w:left w:w="0" w:type="dxa"/>
            <w:bottom w:w="0" w:type="dxa"/>
            <w:right w:w="0" w:type="dxa"/>
          </w:tblCellMar>
        </w:tblPrEx>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28807">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485F8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针茅型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E8CE2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173.77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30E2E">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3515C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具灌木的青藏苔草型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70641B">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32766.46</w:t>
            </w:r>
          </w:p>
        </w:tc>
      </w:tr>
      <w:tr w14:paraId="571B576F">
        <w:tblPrEx>
          <w:tblCellMar>
            <w:top w:w="0" w:type="dxa"/>
            <w:left w:w="0" w:type="dxa"/>
            <w:bottom w:w="0" w:type="dxa"/>
            <w:right w:w="0" w:type="dxa"/>
          </w:tblCellMar>
        </w:tblPrEx>
        <w:trPr>
          <w:trHeight w:val="398"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BD410E">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9325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高山嵩草、异针茅型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22881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4561.77</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BA9297">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406DB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DAAC7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91057.02</w:t>
            </w:r>
          </w:p>
        </w:tc>
      </w:tr>
      <w:tr w14:paraId="2B90B8C6">
        <w:tblPrEx>
          <w:tblCellMar>
            <w:top w:w="0" w:type="dxa"/>
            <w:left w:w="0" w:type="dxa"/>
            <w:bottom w:w="0" w:type="dxa"/>
            <w:right w:w="0" w:type="dxa"/>
          </w:tblCellMar>
        </w:tblPrEx>
        <w:trPr>
          <w:trHeight w:val="37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3C8C9">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1D31B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3023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1188.89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49B4C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6B88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C30C3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14293.32</w:t>
            </w:r>
          </w:p>
        </w:tc>
      </w:tr>
      <w:tr w14:paraId="089B3C53">
        <w:tblPrEx>
          <w:tblCellMar>
            <w:top w:w="0" w:type="dxa"/>
            <w:left w:w="0" w:type="dxa"/>
            <w:bottom w:w="0" w:type="dxa"/>
            <w:right w:w="0" w:type="dxa"/>
          </w:tblCellMar>
        </w:tblPrEx>
        <w:trPr>
          <w:trHeight w:val="337" w:hRule="atLeast"/>
        </w:trPr>
        <w:tc>
          <w:tcPr>
            <w:tcW w:w="111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B8C32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F3D63A">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2C78B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36075.06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1A115A">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52615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垂穗披碱草型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2F11F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586.12</w:t>
            </w:r>
          </w:p>
        </w:tc>
      </w:tr>
      <w:tr w14:paraId="4B1E4E2E">
        <w:tblPrEx>
          <w:tblCellMar>
            <w:top w:w="0" w:type="dxa"/>
            <w:left w:w="0" w:type="dxa"/>
            <w:bottom w:w="0" w:type="dxa"/>
            <w:right w:w="0" w:type="dxa"/>
          </w:tblCellMar>
        </w:tblPrEx>
        <w:trPr>
          <w:trHeight w:val="33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546D42">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7A132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8AFDD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21285.36</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5D9C8">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2764D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具灌木的白莲蒿型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02E38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2141.77</w:t>
            </w:r>
          </w:p>
        </w:tc>
      </w:tr>
      <w:tr w14:paraId="6DD51835">
        <w:tblPrEx>
          <w:tblCellMar>
            <w:top w:w="0" w:type="dxa"/>
            <w:left w:w="0" w:type="dxa"/>
            <w:bottom w:w="0" w:type="dxa"/>
            <w:right w:w="0" w:type="dxa"/>
          </w:tblCellMar>
        </w:tblPrEx>
        <w:trPr>
          <w:trHeight w:val="34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42AF7D">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36289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6494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22801.43</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77EE6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429312">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C3521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66451.93</w:t>
            </w:r>
          </w:p>
        </w:tc>
      </w:tr>
      <w:tr w14:paraId="617F354D">
        <w:tblPrEx>
          <w:tblCellMar>
            <w:top w:w="0" w:type="dxa"/>
            <w:left w:w="0" w:type="dxa"/>
            <w:bottom w:w="0" w:type="dxa"/>
            <w:right w:w="0" w:type="dxa"/>
          </w:tblCellMar>
        </w:tblPrEx>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34867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E0E34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高山嵩草、苔草型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0114D0">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114363.09</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1D56FE">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E85C1E">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DFD54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614.98</w:t>
            </w:r>
          </w:p>
        </w:tc>
      </w:tr>
      <w:tr w14:paraId="3F544CB2">
        <w:tblPrEx>
          <w:tblCellMar>
            <w:top w:w="0" w:type="dxa"/>
            <w:left w:w="0" w:type="dxa"/>
            <w:bottom w:w="0" w:type="dxa"/>
            <w:right w:w="0" w:type="dxa"/>
          </w:tblCellMar>
        </w:tblPrEx>
        <w:trPr>
          <w:trHeight w:val="36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7CB12C">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55DEF1">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白莲蒿、杂类草型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B084C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1844.22</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F4C29">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3BC10F">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E3BC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298.16</w:t>
            </w:r>
          </w:p>
        </w:tc>
      </w:tr>
      <w:tr w14:paraId="6AFBD04D">
        <w:tblPrEx>
          <w:tblCellMar>
            <w:top w:w="0" w:type="dxa"/>
            <w:left w:w="0" w:type="dxa"/>
            <w:bottom w:w="0" w:type="dxa"/>
            <w:right w:w="0" w:type="dxa"/>
          </w:tblCellMar>
        </w:tblPrEx>
        <w:trPr>
          <w:trHeight w:val="349"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B9FD08">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FABCC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人工草地</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D0C79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311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A6823">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4F9C1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矮生嵩草、杂类草型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15E934">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6414.46</w:t>
            </w:r>
          </w:p>
        </w:tc>
      </w:tr>
      <w:tr w14:paraId="753CD0CE">
        <w:tblPrEx>
          <w:tblCellMar>
            <w:top w:w="0" w:type="dxa"/>
            <w:left w:w="0" w:type="dxa"/>
            <w:bottom w:w="0" w:type="dxa"/>
            <w:right w:w="0" w:type="dxa"/>
          </w:tblCellMar>
        </w:tblPrEx>
        <w:trPr>
          <w:trHeight w:val="365"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70B4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27C78">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447D4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34951.61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62FDA1">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C85D37">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青藏苔草、杂类草型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1D9F49">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100529.91</w:t>
            </w:r>
          </w:p>
        </w:tc>
      </w:tr>
      <w:tr w14:paraId="46F0643E">
        <w:tblPrEx>
          <w:tblCellMar>
            <w:top w:w="0" w:type="dxa"/>
            <w:left w:w="0" w:type="dxa"/>
            <w:bottom w:w="0" w:type="dxa"/>
            <w:right w:w="0" w:type="dxa"/>
          </w:tblCellMar>
        </w:tblPrEx>
        <w:trPr>
          <w:trHeight w:val="382" w:hRule="atLeast"/>
        </w:trPr>
        <w:tc>
          <w:tcPr>
            <w:tcW w:w="111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7D11D3">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E3E9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20D53">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23214.51</w:t>
            </w: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AE7C4">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2D8F9D">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青藏苔草、垫状驼绒藜型</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80B8FC">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45561.88</w:t>
            </w:r>
          </w:p>
        </w:tc>
      </w:tr>
      <w:tr w14:paraId="62A034B6">
        <w:tblPrEx>
          <w:tblCellMar>
            <w:top w:w="0" w:type="dxa"/>
            <w:left w:w="0" w:type="dxa"/>
            <w:bottom w:w="0" w:type="dxa"/>
            <w:right w:w="0" w:type="dxa"/>
          </w:tblCellMar>
        </w:tblPrEx>
        <w:trPr>
          <w:trHeight w:val="383" w:hRule="atLeast"/>
        </w:trPr>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1892D0">
            <w:pPr>
              <w:widowControl/>
              <w:spacing w:line="240" w:lineRule="exact"/>
              <w:jc w:val="center"/>
              <w:rPr>
                <w:rFonts w:ascii="Times New Roman" w:hAnsi="Times New Roman" w:eastAsia="宋体" w:cs="Times New Roman"/>
                <w:szCs w:val="21"/>
              </w:rPr>
            </w:pPr>
          </w:p>
        </w:tc>
        <w:tc>
          <w:tcPr>
            <w:tcW w:w="22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58B0CA">
            <w:pPr>
              <w:widowControl/>
              <w:spacing w:line="240" w:lineRule="exact"/>
              <w:jc w:val="center"/>
              <w:rPr>
                <w:rFonts w:ascii="Times New Roman" w:hAnsi="Times New Roman" w:eastAsia="宋体" w:cs="Times New Roman"/>
                <w:szCs w:val="21"/>
              </w:rPr>
            </w:pPr>
          </w:p>
        </w:tc>
        <w:tc>
          <w:tcPr>
            <w:tcW w:w="118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80581E">
            <w:pPr>
              <w:widowControl/>
              <w:spacing w:line="240" w:lineRule="exact"/>
              <w:jc w:val="center"/>
              <w:rPr>
                <w:rFonts w:ascii="Times New Roman" w:hAnsi="Times New Roman" w:eastAsia="宋体" w:cs="Times New Roman"/>
                <w:szCs w:val="21"/>
              </w:rPr>
            </w:pPr>
          </w:p>
        </w:tc>
        <w:tc>
          <w:tcPr>
            <w:tcW w:w="1019"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380EB">
            <w:pPr>
              <w:widowControl/>
              <w:spacing w:line="240" w:lineRule="exact"/>
              <w:jc w:val="center"/>
              <w:rPr>
                <w:rFonts w:ascii="Times New Roman" w:hAnsi="Times New Roman" w:eastAsia="宋体" w:cs="Times New Roman"/>
                <w:szCs w:val="21"/>
              </w:rPr>
            </w:pPr>
          </w:p>
        </w:tc>
        <w:tc>
          <w:tcPr>
            <w:tcW w:w="23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E98A2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B676A6">
            <w:pPr>
              <w:widowControl/>
              <w:spacing w:line="240" w:lineRule="exact"/>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9604.71</w:t>
            </w:r>
          </w:p>
        </w:tc>
      </w:tr>
    </w:tbl>
    <w:p w14:paraId="04D3BE72"/>
    <w:p w14:paraId="7133DD49">
      <w:r>
        <w:drawing>
          <wp:inline distT="0" distB="0" distL="114300" distR="114300">
            <wp:extent cx="5674360" cy="3763645"/>
            <wp:effectExtent l="0" t="0" r="2540" b="825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16" cstate="print"/>
                    <a:stretch>
                      <a:fillRect/>
                    </a:stretch>
                  </pic:blipFill>
                  <pic:spPr>
                    <a:xfrm>
                      <a:off x="0" y="0"/>
                      <a:ext cx="5674360" cy="3763645"/>
                    </a:xfrm>
                    <a:prstGeom prst="rect">
                      <a:avLst/>
                    </a:prstGeom>
                    <a:noFill/>
                    <a:ln>
                      <a:noFill/>
                    </a:ln>
                  </pic:spPr>
                </pic:pic>
              </a:graphicData>
            </a:graphic>
          </wp:inline>
        </w:drawing>
      </w:r>
    </w:p>
    <w:p w14:paraId="38C8E50F">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图3-3昌都市草原型分布图</w:t>
      </w:r>
    </w:p>
    <w:p w14:paraId="3C4E8090">
      <w:pPr>
        <w:rPr>
          <w:rStyle w:val="28"/>
          <w:color w:val="auto"/>
          <w:sz w:val="28"/>
          <w:szCs w:val="28"/>
          <w:u w:val="none"/>
        </w:rPr>
      </w:pPr>
      <w:r>
        <w:rPr>
          <w:rStyle w:val="28"/>
          <w:rFonts w:hint="eastAsia"/>
          <w:color w:val="auto"/>
          <w:sz w:val="28"/>
          <w:szCs w:val="28"/>
          <w:u w:val="none"/>
        </w:rPr>
        <w:br w:type="page"/>
      </w:r>
    </w:p>
    <w:p w14:paraId="21341F67">
      <w:pPr>
        <w:pStyle w:val="4"/>
        <w:numPr>
          <w:ilvl w:val="2"/>
          <w:numId w:val="2"/>
        </w:numPr>
        <w:spacing w:before="120" w:after="120" w:line="360" w:lineRule="auto"/>
        <w:rPr>
          <w:rStyle w:val="28"/>
          <w:color w:val="auto"/>
          <w:sz w:val="28"/>
          <w:szCs w:val="28"/>
          <w:u w:val="none"/>
        </w:rPr>
      </w:pPr>
      <w:bookmarkStart w:id="31" w:name="_Toc27937"/>
      <w:r>
        <w:rPr>
          <w:rStyle w:val="28"/>
          <w:rFonts w:hint="eastAsia"/>
          <w:color w:val="auto"/>
          <w:sz w:val="28"/>
          <w:szCs w:val="28"/>
          <w:u w:val="none"/>
        </w:rPr>
        <w:t>草地权属</w:t>
      </w:r>
      <w:bookmarkEnd w:id="31"/>
    </w:p>
    <w:p w14:paraId="25D92C8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昌都市草地所有权分为国有土地所有权和集体土地所有权，以国有土地为主，全市国有草地共计5013431.68公顷，占全市草原的98.45%。集体草地零星分布，呈破碎化。</w:t>
      </w:r>
    </w:p>
    <w:p w14:paraId="5921637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表3-5昌都市草地所有权情况统计表</w:t>
      </w:r>
    </w:p>
    <w:tbl>
      <w:tblPr>
        <w:tblStyle w:val="24"/>
        <w:tblW w:w="8981" w:type="dxa"/>
        <w:tblInd w:w="0" w:type="dxa"/>
        <w:tblLayout w:type="fixed"/>
        <w:tblCellMar>
          <w:top w:w="0" w:type="dxa"/>
          <w:left w:w="0" w:type="dxa"/>
          <w:bottom w:w="0" w:type="dxa"/>
          <w:right w:w="0" w:type="dxa"/>
        </w:tblCellMar>
      </w:tblPr>
      <w:tblGrid>
        <w:gridCol w:w="977"/>
        <w:gridCol w:w="1633"/>
        <w:gridCol w:w="1567"/>
        <w:gridCol w:w="1317"/>
        <w:gridCol w:w="1766"/>
        <w:gridCol w:w="1721"/>
      </w:tblGrid>
      <w:tr w14:paraId="4415057A">
        <w:tblPrEx>
          <w:tblCellMar>
            <w:top w:w="0" w:type="dxa"/>
            <w:left w:w="0" w:type="dxa"/>
            <w:bottom w:w="0" w:type="dxa"/>
            <w:right w:w="0" w:type="dxa"/>
          </w:tblCellMar>
        </w:tblPrEx>
        <w:trPr>
          <w:trHeight w:val="315" w:hRule="atLeast"/>
        </w:trPr>
        <w:tc>
          <w:tcPr>
            <w:tcW w:w="977"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D1B7B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4517"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C8C6EB">
            <w:pPr>
              <w:jc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3487"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3E0D67">
            <w:pPr>
              <w:jc w:val="center"/>
              <w:rPr>
                <w:rFonts w:ascii="Times New Roman" w:hAnsi="Times New Roman" w:eastAsia="宋体" w:cs="Times New Roman"/>
                <w:szCs w:val="21"/>
              </w:rPr>
            </w:pPr>
            <w:r>
              <w:rPr>
                <w:rFonts w:ascii="Times New Roman" w:hAnsi="Times New Roman" w:eastAsia="宋体" w:cs="Times New Roman"/>
                <w:kern w:val="0"/>
                <w:szCs w:val="21"/>
              </w:rPr>
              <w:t>占全市草原的占比（%）</w:t>
            </w:r>
          </w:p>
        </w:tc>
      </w:tr>
      <w:tr w14:paraId="16DA6419">
        <w:tblPrEx>
          <w:tblCellMar>
            <w:top w:w="0" w:type="dxa"/>
            <w:left w:w="0" w:type="dxa"/>
            <w:bottom w:w="0" w:type="dxa"/>
            <w:right w:w="0" w:type="dxa"/>
          </w:tblCellMar>
        </w:tblPrEx>
        <w:trPr>
          <w:trHeight w:val="315" w:hRule="atLeast"/>
        </w:trPr>
        <w:tc>
          <w:tcPr>
            <w:tcW w:w="97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FD4667">
            <w:pPr>
              <w:jc w:val="center"/>
              <w:rPr>
                <w:rFonts w:ascii="Times New Roman" w:hAnsi="Times New Roman" w:eastAsia="宋体" w:cs="Times New Roman"/>
                <w:szCs w:val="21"/>
              </w:rPr>
            </w:pP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EC970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国有土地所有权</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1D809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集体土地所有权</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E1AC7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69BEB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国有土地所有权</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B8F5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集体土地所有权</w:t>
            </w:r>
          </w:p>
        </w:tc>
      </w:tr>
      <w:tr w14:paraId="4D8C10D2">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CF0F8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B49E3">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331307.25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A26D1B">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9305.60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4D6C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340612.85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C1A0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6.51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ACFB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0.18 </w:t>
            </w:r>
          </w:p>
        </w:tc>
      </w:tr>
      <w:tr w14:paraId="5E53CFEE">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1AFBE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618E3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735362.16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1F332F">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14335.45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4500E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749697.61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B16C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14.44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5EF8E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0.28 </w:t>
            </w:r>
          </w:p>
        </w:tc>
      </w:tr>
      <w:tr w14:paraId="14B5CF63">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14B6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FF307">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294373.62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CB3E3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4714.77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DAF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299088.39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42F53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5.78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C10E7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0.09 </w:t>
            </w:r>
          </w:p>
        </w:tc>
      </w:tr>
      <w:tr w14:paraId="7BE1B466">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A52D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BA10A9">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304885.41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F08EC3">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7466.29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205B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312351.70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909A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5.99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87FE4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0.15 </w:t>
            </w:r>
          </w:p>
        </w:tc>
      </w:tr>
      <w:tr w14:paraId="40DE4D7F">
        <w:tblPrEx>
          <w:tblCellMar>
            <w:top w:w="0" w:type="dxa"/>
            <w:left w:w="0" w:type="dxa"/>
            <w:bottom w:w="0" w:type="dxa"/>
            <w:right w:w="0" w:type="dxa"/>
          </w:tblCellMar>
        </w:tblPrEx>
        <w:trPr>
          <w:trHeight w:val="300"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653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84362">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856635.40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E54E9">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4911.95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C0D35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861547.35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F2EDD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16.82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81055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0.10 </w:t>
            </w:r>
          </w:p>
        </w:tc>
      </w:tr>
      <w:tr w14:paraId="1C668EA5">
        <w:tblPrEx>
          <w:tblCellMar>
            <w:top w:w="0" w:type="dxa"/>
            <w:left w:w="0" w:type="dxa"/>
            <w:bottom w:w="0" w:type="dxa"/>
            <w:right w:w="0" w:type="dxa"/>
          </w:tblCellMar>
        </w:tblPrEx>
        <w:trPr>
          <w:trHeight w:val="324"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F062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8BC528">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429621.90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2D452">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8564.77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838CD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438186.67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CADA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8.44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49BC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0.17 </w:t>
            </w:r>
          </w:p>
        </w:tc>
      </w:tr>
      <w:tr w14:paraId="6D2156C3">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B60C0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B0ECC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623829.44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7E13E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14887.90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9B18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638717.34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FB6D1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12.25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7EC3A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0.29 </w:t>
            </w:r>
          </w:p>
        </w:tc>
      </w:tr>
      <w:tr w14:paraId="66B2E1DA">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BE9EF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5E3FB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504863.68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A5502C">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1411.28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83170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506274.96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DE346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9.91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DD2A9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0.03 </w:t>
            </w:r>
          </w:p>
        </w:tc>
      </w:tr>
      <w:tr w14:paraId="0D5E9D24">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B575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41149">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264141.03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C7BBB5">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7825.90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155AD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271966.93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868B2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5.19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286E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0.15 </w:t>
            </w:r>
          </w:p>
        </w:tc>
      </w:tr>
      <w:tr w14:paraId="3DEC692F">
        <w:tblPrEx>
          <w:tblCellMar>
            <w:top w:w="0" w:type="dxa"/>
            <w:left w:w="0" w:type="dxa"/>
            <w:bottom w:w="0" w:type="dxa"/>
            <w:right w:w="0" w:type="dxa"/>
          </w:tblCellMar>
        </w:tblPrEx>
        <w:trPr>
          <w:trHeight w:val="31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ECDC0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9914AE">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251931.21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5304A">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2915.07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623FA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254846.28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8000F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4.95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9CB5D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0.06 </w:t>
            </w:r>
          </w:p>
        </w:tc>
      </w:tr>
      <w:tr w14:paraId="6B194E10">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6DAB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C51B52">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416480.58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8950D8">
            <w:pPr>
              <w:widowControl/>
              <w:jc w:val="center"/>
              <w:textAlignment w:val="center"/>
              <w:rPr>
                <w:rFonts w:ascii="Times New Roman" w:hAnsi="Times New Roman" w:eastAsia="仿宋" w:cs="Times New Roman"/>
                <w:szCs w:val="21"/>
              </w:rPr>
            </w:pPr>
            <w:r>
              <w:rPr>
                <w:rFonts w:ascii="Times New Roman" w:hAnsi="Times New Roman" w:eastAsia="仿宋" w:cs="Times New Roman"/>
                <w:kern w:val="0"/>
                <w:szCs w:val="21"/>
              </w:rPr>
              <w:t xml:space="preserve">2678.44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4DDB7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419159.02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36191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8.18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02F0F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0.05 </w:t>
            </w:r>
          </w:p>
        </w:tc>
      </w:tr>
      <w:tr w14:paraId="244C344E">
        <w:tblPrEx>
          <w:tblCellMar>
            <w:top w:w="0" w:type="dxa"/>
            <w:left w:w="0" w:type="dxa"/>
            <w:bottom w:w="0" w:type="dxa"/>
            <w:right w:w="0" w:type="dxa"/>
          </w:tblCellMar>
        </w:tblPrEx>
        <w:trPr>
          <w:trHeight w:val="285" w:hRule="atLeast"/>
        </w:trPr>
        <w:tc>
          <w:tcPr>
            <w:tcW w:w="9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4AFD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16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E7034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5013431.68 </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922C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79017.42 </w:t>
            </w:r>
          </w:p>
        </w:tc>
        <w:tc>
          <w:tcPr>
            <w:tcW w:w="13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FB212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5092449.10 </w:t>
            </w:r>
          </w:p>
        </w:tc>
        <w:tc>
          <w:tcPr>
            <w:tcW w:w="17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C7837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98.45 </w:t>
            </w:r>
          </w:p>
        </w:tc>
        <w:tc>
          <w:tcPr>
            <w:tcW w:w="172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959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 xml:space="preserve">1.55 </w:t>
            </w:r>
          </w:p>
        </w:tc>
      </w:tr>
    </w:tbl>
    <w:p w14:paraId="1767AF2F">
      <w:pPr>
        <w:spacing w:line="360" w:lineRule="auto"/>
        <w:jc w:val="center"/>
        <w:rPr>
          <w:rFonts w:ascii="Times New Roman" w:hAnsi="Times New Roman" w:eastAsia="黑体" w:cs="Times New Roman"/>
          <w:sz w:val="24"/>
          <w:szCs w:val="21"/>
        </w:rPr>
      </w:pPr>
    </w:p>
    <w:p w14:paraId="3715D857">
      <w:pPr>
        <w:spacing w:line="360" w:lineRule="auto"/>
        <w:jc w:val="center"/>
        <w:rPr>
          <w:rFonts w:ascii="Times New Roman" w:hAnsi="Times New Roman" w:eastAsia="黑体" w:cs="Times New Roman"/>
          <w:sz w:val="24"/>
          <w:szCs w:val="21"/>
        </w:rPr>
      </w:pPr>
      <w:r>
        <w:drawing>
          <wp:inline distT="0" distB="0" distL="114300" distR="114300">
            <wp:extent cx="5680710" cy="3756660"/>
            <wp:effectExtent l="0" t="0" r="15240" b="1524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17" cstate="print"/>
                    <a:stretch>
                      <a:fillRect/>
                    </a:stretch>
                  </pic:blipFill>
                  <pic:spPr>
                    <a:xfrm>
                      <a:off x="0" y="0"/>
                      <a:ext cx="5680710" cy="3756660"/>
                    </a:xfrm>
                    <a:prstGeom prst="rect">
                      <a:avLst/>
                    </a:prstGeom>
                    <a:noFill/>
                    <a:ln>
                      <a:noFill/>
                    </a:ln>
                  </pic:spPr>
                </pic:pic>
              </a:graphicData>
            </a:graphic>
          </wp:inline>
        </w:drawing>
      </w:r>
    </w:p>
    <w:p w14:paraId="32AA24B1">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图3-4昌都市草地权属分布图</w:t>
      </w:r>
    </w:p>
    <w:p w14:paraId="019FC2E7">
      <w:pPr>
        <w:pStyle w:val="4"/>
        <w:numPr>
          <w:ilvl w:val="2"/>
          <w:numId w:val="2"/>
        </w:numPr>
        <w:spacing w:before="120" w:after="120" w:line="360" w:lineRule="auto"/>
        <w:rPr>
          <w:rStyle w:val="28"/>
          <w:color w:val="auto"/>
          <w:sz w:val="28"/>
          <w:szCs w:val="28"/>
          <w:u w:val="none"/>
        </w:rPr>
      </w:pPr>
      <w:bookmarkStart w:id="32" w:name="_Toc826"/>
      <w:r>
        <w:rPr>
          <w:rStyle w:val="28"/>
          <w:rFonts w:hint="eastAsia"/>
          <w:color w:val="auto"/>
          <w:sz w:val="28"/>
          <w:szCs w:val="28"/>
          <w:u w:val="none"/>
        </w:rPr>
        <w:t>生态功能定位</w:t>
      </w:r>
      <w:bookmarkEnd w:id="32"/>
    </w:p>
    <w:p w14:paraId="6127AA3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根据《新时代生态文明背景下中国草原分区与功能辨析》，昌都市草原在全国草原一级分区为</w:t>
      </w:r>
      <w:r>
        <w:rPr>
          <w:rFonts w:ascii="Times New Roman" w:hAnsi="Times New Roman" w:eastAsia="宋体" w:cs="Times New Roman"/>
          <w:sz w:val="24"/>
          <w:szCs w:val="24"/>
        </w:rPr>
        <w:t>Ⅲ</w:t>
      </w:r>
      <w:r>
        <w:rPr>
          <w:rFonts w:ascii="Times New Roman" w:hAnsi="Times New Roman" w:cs="Times New Roman"/>
          <w:sz w:val="24"/>
          <w:szCs w:val="24"/>
        </w:rPr>
        <w:t>青藏高原草原区，二级分区为</w:t>
      </w:r>
      <w:r>
        <w:rPr>
          <w:rFonts w:ascii="Times New Roman" w:hAnsi="Times New Roman" w:eastAsia="宋体" w:cs="Times New Roman"/>
          <w:sz w:val="24"/>
          <w:szCs w:val="24"/>
        </w:rPr>
        <w:t>Ⅲ-3</w:t>
      </w:r>
      <w:r>
        <w:rPr>
          <w:rFonts w:ascii="Times New Roman" w:hAnsi="Times New Roman" w:cs="Times New Roman"/>
          <w:sz w:val="24"/>
          <w:szCs w:val="24"/>
        </w:rPr>
        <w:t>藏北草原亚区、</w:t>
      </w:r>
      <w:r>
        <w:rPr>
          <w:rFonts w:ascii="Times New Roman" w:hAnsi="Times New Roman" w:eastAsia="宋体" w:cs="Times New Roman"/>
          <w:sz w:val="24"/>
          <w:szCs w:val="24"/>
        </w:rPr>
        <w:t>Ⅲ-4藏东草原亚区</w:t>
      </w:r>
      <w:r>
        <w:rPr>
          <w:rFonts w:ascii="Times New Roman" w:hAnsi="Times New Roman" w:cs="Times New Roman"/>
          <w:sz w:val="24"/>
          <w:szCs w:val="24"/>
        </w:rPr>
        <w:t>，主体功能为水源涵养、生物多样性保持和土壤保持。</w:t>
      </w:r>
      <w:r>
        <w:rPr>
          <w:rFonts w:ascii="Times New Roman" w:hAnsi="Times New Roman" w:eastAsia="宋体" w:cs="Times New Roman"/>
          <w:sz w:val="24"/>
          <w:szCs w:val="24"/>
        </w:rPr>
        <w:t>Ⅲ</w:t>
      </w:r>
      <w:r>
        <w:rPr>
          <w:rFonts w:ascii="Times New Roman" w:hAnsi="Times New Roman" w:cs="Times New Roman"/>
          <w:sz w:val="24"/>
          <w:szCs w:val="24"/>
        </w:rPr>
        <w:t>青藏高原草原区</w:t>
      </w:r>
      <w:r>
        <w:rPr>
          <w:rFonts w:hint="eastAsia" w:ascii="Times New Roman" w:hAnsi="Times New Roman" w:cs="Times New Roman"/>
          <w:sz w:val="24"/>
          <w:szCs w:val="24"/>
        </w:rPr>
        <w:t>的产业发展方向主要以草原生态修复产业、草原生态保护产业、草原畜牧业和草原生态旅游业为主。</w:t>
      </w:r>
    </w:p>
    <w:p w14:paraId="0DC01C35">
      <w:pPr>
        <w:pStyle w:val="4"/>
        <w:numPr>
          <w:ilvl w:val="2"/>
          <w:numId w:val="2"/>
        </w:numPr>
        <w:spacing w:before="120" w:after="120" w:line="360" w:lineRule="auto"/>
        <w:rPr>
          <w:rStyle w:val="28"/>
          <w:color w:val="auto"/>
          <w:sz w:val="28"/>
          <w:szCs w:val="28"/>
          <w:u w:val="none"/>
        </w:rPr>
      </w:pPr>
      <w:bookmarkStart w:id="33" w:name="_Toc16909"/>
      <w:r>
        <w:rPr>
          <w:rStyle w:val="28"/>
          <w:rFonts w:hint="eastAsia"/>
          <w:color w:val="auto"/>
          <w:sz w:val="28"/>
          <w:szCs w:val="28"/>
          <w:u w:val="none"/>
        </w:rPr>
        <w:t>草原综合植被盖度</w:t>
      </w:r>
      <w:bookmarkEnd w:id="33"/>
    </w:p>
    <w:p w14:paraId="4F9986F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2024年昌都市政府工作报告，昌都市草原综合植被盖度已达到78.04%。</w:t>
      </w:r>
    </w:p>
    <w:p w14:paraId="3A0ED978">
      <w:pPr>
        <w:pStyle w:val="4"/>
        <w:numPr>
          <w:ilvl w:val="2"/>
          <w:numId w:val="2"/>
        </w:numPr>
        <w:spacing w:before="120" w:after="120" w:line="360" w:lineRule="auto"/>
        <w:rPr>
          <w:rStyle w:val="28"/>
          <w:color w:val="auto"/>
          <w:sz w:val="28"/>
          <w:szCs w:val="28"/>
          <w:u w:val="none"/>
        </w:rPr>
      </w:pPr>
      <w:bookmarkStart w:id="34" w:name="_Toc31277"/>
      <w:r>
        <w:rPr>
          <w:rStyle w:val="28"/>
          <w:rFonts w:hint="eastAsia"/>
          <w:color w:val="auto"/>
          <w:sz w:val="28"/>
          <w:szCs w:val="28"/>
          <w:u w:val="none"/>
        </w:rPr>
        <w:t>草原健康状况</w:t>
      </w:r>
      <w:bookmarkEnd w:id="34"/>
    </w:p>
    <w:p w14:paraId="2DBC493A">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全市草原健康状况</w:t>
      </w:r>
    </w:p>
    <w:p w14:paraId="40E9D427">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林草综合监测数据可知，昌都市草原健康等级为I级（健康）面积为2726574.19公顷，占评估草地范围面积比例为53.54%；等级为Ⅱ级（亚健康）面积为1278978.64公顷，占评估草地范围面积比例为25.12%；等级为III级（不健康）面积为902166.51公顷，占评估草地范围面积比例为17.72%</w:t>
      </w:r>
      <w:r>
        <w:rPr>
          <w:rFonts w:hint="eastAsia" w:ascii="Times New Roman" w:hAnsi="Times New Roman" w:cs="Times New Roman"/>
          <w:sz w:val="24"/>
          <w:szCs w:val="24"/>
        </w:rPr>
        <w:t>；</w:t>
      </w:r>
      <w:r>
        <w:rPr>
          <w:rFonts w:ascii="Times New Roman" w:hAnsi="Times New Roman" w:cs="Times New Roman"/>
          <w:sz w:val="24"/>
          <w:szCs w:val="24"/>
        </w:rPr>
        <w:t>等级为Ⅳ级（极不健康）面积为177260.90公顷，占评估草地范围面积比例为3.48%。这一结果显示昌都市的草地呈现出相对健康状态，但也存在一些问题，需要加以保护和修复。</w:t>
      </w:r>
    </w:p>
    <w:p w14:paraId="51A8F55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表3-6昌都市草原健康等级面积统计表</w:t>
      </w:r>
    </w:p>
    <w:tbl>
      <w:tblPr>
        <w:tblStyle w:val="24"/>
        <w:tblW w:w="89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76"/>
        <w:gridCol w:w="2844"/>
        <w:gridCol w:w="3461"/>
      </w:tblGrid>
      <w:tr w14:paraId="1D604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3" w:hRule="atLeast"/>
        </w:trPr>
        <w:tc>
          <w:tcPr>
            <w:tcW w:w="2676" w:type="dxa"/>
            <w:shd w:val="clear" w:color="auto" w:fill="auto"/>
            <w:tcMar>
              <w:top w:w="15" w:type="dxa"/>
              <w:left w:w="15" w:type="dxa"/>
              <w:right w:w="15" w:type="dxa"/>
            </w:tcMar>
          </w:tcPr>
          <w:p w14:paraId="3391542A">
            <w:pPr>
              <w:widowControl/>
              <w:jc w:val="center"/>
              <w:textAlignment w:val="top"/>
              <w:rPr>
                <w:rFonts w:ascii="Times New Roman" w:hAnsi="Times New Roman" w:eastAsia="宋体" w:cs="Times New Roman"/>
                <w:sz w:val="22"/>
              </w:rPr>
            </w:pPr>
            <w:r>
              <w:rPr>
                <w:rFonts w:hint="eastAsia" w:ascii="宋体" w:hAnsi="宋体" w:eastAsia="宋体" w:cs="宋体"/>
                <w:kern w:val="0"/>
                <w:sz w:val="22"/>
              </w:rPr>
              <w:t>健康等级</w:t>
            </w:r>
          </w:p>
        </w:tc>
        <w:tc>
          <w:tcPr>
            <w:tcW w:w="2844" w:type="dxa"/>
            <w:shd w:val="clear" w:color="auto" w:fill="auto"/>
            <w:tcMar>
              <w:top w:w="15" w:type="dxa"/>
              <w:left w:w="15" w:type="dxa"/>
              <w:right w:w="15" w:type="dxa"/>
            </w:tcMar>
          </w:tcPr>
          <w:p w14:paraId="10D1D6A1">
            <w:pPr>
              <w:widowControl/>
              <w:jc w:val="center"/>
              <w:textAlignment w:val="top"/>
              <w:rPr>
                <w:rFonts w:ascii="Times New Roman" w:hAnsi="Times New Roman" w:eastAsia="宋体" w:cs="Times New Roman"/>
                <w:sz w:val="22"/>
              </w:rPr>
            </w:pPr>
            <w:r>
              <w:rPr>
                <w:rFonts w:hint="eastAsia" w:ascii="宋体" w:hAnsi="宋体" w:eastAsia="宋体" w:cs="宋体"/>
                <w:kern w:val="0"/>
                <w:sz w:val="22"/>
              </w:rPr>
              <w:t>面积（公顷）</w:t>
            </w:r>
          </w:p>
        </w:tc>
        <w:tc>
          <w:tcPr>
            <w:tcW w:w="3461" w:type="dxa"/>
            <w:shd w:val="clear" w:color="auto" w:fill="auto"/>
            <w:tcMar>
              <w:top w:w="15" w:type="dxa"/>
              <w:left w:w="15" w:type="dxa"/>
              <w:right w:w="15" w:type="dxa"/>
            </w:tcMar>
          </w:tcPr>
          <w:p w14:paraId="21577F07">
            <w:pPr>
              <w:widowControl/>
              <w:jc w:val="center"/>
              <w:textAlignment w:val="top"/>
              <w:rPr>
                <w:rFonts w:ascii="Times New Roman" w:hAnsi="Times New Roman" w:eastAsia="宋体" w:cs="Times New Roman"/>
                <w:sz w:val="22"/>
              </w:rPr>
            </w:pPr>
            <w:r>
              <w:rPr>
                <w:rFonts w:hint="eastAsia" w:ascii="宋体" w:hAnsi="宋体" w:eastAsia="宋体" w:cs="宋体"/>
                <w:kern w:val="0"/>
                <w:sz w:val="22"/>
              </w:rPr>
              <w:t>全市草地的占比（</w:t>
            </w:r>
            <w:r>
              <w:rPr>
                <w:rFonts w:ascii="Times New Roman" w:hAnsi="Times New Roman" w:eastAsia="宋体" w:cs="Times New Roman"/>
                <w:kern w:val="0"/>
                <w:sz w:val="22"/>
              </w:rPr>
              <w:t>%</w:t>
            </w:r>
            <w:r>
              <w:rPr>
                <w:rFonts w:hint="eastAsia" w:ascii="宋体" w:hAnsi="宋体" w:eastAsia="宋体" w:cs="宋体"/>
                <w:kern w:val="0"/>
                <w:sz w:val="22"/>
              </w:rPr>
              <w:t>）</w:t>
            </w:r>
          </w:p>
        </w:tc>
      </w:tr>
      <w:tr w14:paraId="625D5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79C8C98A">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I</w:t>
            </w:r>
          </w:p>
        </w:tc>
        <w:tc>
          <w:tcPr>
            <w:tcW w:w="2844" w:type="dxa"/>
            <w:shd w:val="clear" w:color="auto" w:fill="auto"/>
            <w:tcMar>
              <w:top w:w="15" w:type="dxa"/>
              <w:left w:w="15" w:type="dxa"/>
              <w:right w:w="15" w:type="dxa"/>
            </w:tcMar>
          </w:tcPr>
          <w:p w14:paraId="32CE7AD0">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2726574.19</w:t>
            </w:r>
          </w:p>
        </w:tc>
        <w:tc>
          <w:tcPr>
            <w:tcW w:w="3461" w:type="dxa"/>
            <w:shd w:val="clear" w:color="auto" w:fill="auto"/>
            <w:tcMar>
              <w:top w:w="15" w:type="dxa"/>
              <w:left w:w="15" w:type="dxa"/>
              <w:right w:w="15" w:type="dxa"/>
            </w:tcMar>
          </w:tcPr>
          <w:p w14:paraId="4AFA80E8">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53.</w:t>
            </w:r>
            <w:r>
              <w:rPr>
                <w:rFonts w:hint="eastAsia" w:ascii="Times New Roman" w:hAnsi="Times New Roman" w:eastAsia="宋体" w:cs="Times New Roman"/>
                <w:kern w:val="0"/>
                <w:sz w:val="22"/>
              </w:rPr>
              <w:t>54</w:t>
            </w:r>
          </w:p>
        </w:tc>
      </w:tr>
      <w:tr w14:paraId="723EB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5D6FE8A8">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Ⅱ</w:t>
            </w:r>
          </w:p>
        </w:tc>
        <w:tc>
          <w:tcPr>
            <w:tcW w:w="2844" w:type="dxa"/>
            <w:shd w:val="clear" w:color="auto" w:fill="auto"/>
            <w:tcMar>
              <w:top w:w="15" w:type="dxa"/>
              <w:left w:w="15" w:type="dxa"/>
              <w:right w:w="15" w:type="dxa"/>
            </w:tcMar>
          </w:tcPr>
          <w:p w14:paraId="628ABB5A">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1278978.64</w:t>
            </w:r>
          </w:p>
        </w:tc>
        <w:tc>
          <w:tcPr>
            <w:tcW w:w="3461" w:type="dxa"/>
            <w:shd w:val="clear" w:color="auto" w:fill="auto"/>
            <w:tcMar>
              <w:top w:w="15" w:type="dxa"/>
              <w:left w:w="15" w:type="dxa"/>
              <w:right w:w="15" w:type="dxa"/>
            </w:tcMar>
          </w:tcPr>
          <w:p w14:paraId="0C60FEBA">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25.</w:t>
            </w:r>
            <w:r>
              <w:rPr>
                <w:rFonts w:hint="eastAsia" w:ascii="Times New Roman" w:hAnsi="Times New Roman" w:eastAsia="宋体" w:cs="Times New Roman"/>
                <w:kern w:val="0"/>
                <w:sz w:val="22"/>
              </w:rPr>
              <w:t>12</w:t>
            </w:r>
          </w:p>
        </w:tc>
      </w:tr>
      <w:tr w14:paraId="4D10F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5B1CD0F6">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III</w:t>
            </w:r>
          </w:p>
        </w:tc>
        <w:tc>
          <w:tcPr>
            <w:tcW w:w="2844" w:type="dxa"/>
            <w:shd w:val="clear" w:color="auto" w:fill="auto"/>
            <w:tcMar>
              <w:top w:w="15" w:type="dxa"/>
              <w:left w:w="15" w:type="dxa"/>
              <w:right w:w="15" w:type="dxa"/>
            </w:tcMar>
          </w:tcPr>
          <w:p w14:paraId="43FC8246">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902166.51</w:t>
            </w:r>
          </w:p>
        </w:tc>
        <w:tc>
          <w:tcPr>
            <w:tcW w:w="3461" w:type="dxa"/>
            <w:shd w:val="clear" w:color="auto" w:fill="auto"/>
            <w:tcMar>
              <w:top w:w="15" w:type="dxa"/>
              <w:left w:w="15" w:type="dxa"/>
              <w:right w:w="15" w:type="dxa"/>
            </w:tcMar>
          </w:tcPr>
          <w:p w14:paraId="568414CE">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17.</w:t>
            </w:r>
            <w:r>
              <w:rPr>
                <w:rFonts w:hint="eastAsia" w:ascii="Times New Roman" w:hAnsi="Times New Roman" w:eastAsia="宋体" w:cs="Times New Roman"/>
                <w:kern w:val="0"/>
                <w:sz w:val="22"/>
              </w:rPr>
              <w:t>72</w:t>
            </w:r>
          </w:p>
        </w:tc>
      </w:tr>
      <w:tr w14:paraId="3F8BF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1097D9EC">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Ⅳ</w:t>
            </w:r>
          </w:p>
        </w:tc>
        <w:tc>
          <w:tcPr>
            <w:tcW w:w="2844" w:type="dxa"/>
            <w:shd w:val="clear" w:color="auto" w:fill="auto"/>
            <w:tcMar>
              <w:top w:w="15" w:type="dxa"/>
              <w:left w:w="15" w:type="dxa"/>
              <w:right w:w="15" w:type="dxa"/>
            </w:tcMar>
          </w:tcPr>
          <w:p w14:paraId="66DEB13C">
            <w:pPr>
              <w:widowControl/>
              <w:jc w:val="center"/>
              <w:textAlignment w:val="top"/>
              <w:rPr>
                <w:rFonts w:ascii="Times New Roman" w:hAnsi="Times New Roman" w:eastAsia="宋体" w:cs="Times New Roman"/>
                <w:sz w:val="22"/>
              </w:rPr>
            </w:pPr>
            <w:r>
              <w:rPr>
                <w:rFonts w:hint="eastAsia" w:ascii="Times New Roman" w:hAnsi="Times New Roman" w:cs="Times New Roman"/>
                <w:sz w:val="22"/>
              </w:rPr>
              <w:t>177260.90</w:t>
            </w:r>
          </w:p>
        </w:tc>
        <w:tc>
          <w:tcPr>
            <w:tcW w:w="3461" w:type="dxa"/>
            <w:shd w:val="clear" w:color="auto" w:fill="auto"/>
            <w:tcMar>
              <w:top w:w="15" w:type="dxa"/>
              <w:left w:w="15" w:type="dxa"/>
              <w:right w:w="15" w:type="dxa"/>
            </w:tcMar>
          </w:tcPr>
          <w:p w14:paraId="6C08D54F">
            <w:pPr>
              <w:widowControl/>
              <w:jc w:val="center"/>
              <w:textAlignment w:val="top"/>
              <w:rPr>
                <w:rFonts w:ascii="Times New Roman" w:hAnsi="Times New Roman" w:eastAsia="宋体" w:cs="Times New Roman"/>
                <w:sz w:val="22"/>
              </w:rPr>
            </w:pPr>
            <w:r>
              <w:rPr>
                <w:rFonts w:ascii="Times New Roman" w:hAnsi="Times New Roman" w:eastAsia="宋体" w:cs="Times New Roman"/>
                <w:kern w:val="0"/>
                <w:sz w:val="22"/>
              </w:rPr>
              <w:t>3.4</w:t>
            </w:r>
            <w:r>
              <w:rPr>
                <w:rFonts w:hint="eastAsia" w:ascii="Times New Roman" w:hAnsi="Times New Roman" w:eastAsia="宋体" w:cs="Times New Roman"/>
                <w:kern w:val="0"/>
                <w:sz w:val="22"/>
              </w:rPr>
              <w:t>8</w:t>
            </w:r>
          </w:p>
        </w:tc>
      </w:tr>
      <w:tr w14:paraId="7A7FE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1DA11096">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其他</w:t>
            </w:r>
          </w:p>
        </w:tc>
        <w:tc>
          <w:tcPr>
            <w:tcW w:w="2844" w:type="dxa"/>
            <w:shd w:val="clear" w:color="auto" w:fill="auto"/>
            <w:tcMar>
              <w:top w:w="15" w:type="dxa"/>
              <w:left w:w="15" w:type="dxa"/>
              <w:right w:w="15" w:type="dxa"/>
            </w:tcMar>
          </w:tcPr>
          <w:p w14:paraId="6CFEED7B">
            <w:pPr>
              <w:widowControl/>
              <w:jc w:val="center"/>
              <w:textAlignment w:val="top"/>
              <w:rPr>
                <w:rFonts w:ascii="Times New Roman" w:hAnsi="Times New Roman" w:cs="Times New Roman"/>
                <w:sz w:val="22"/>
              </w:rPr>
            </w:pPr>
            <w:r>
              <w:rPr>
                <w:rFonts w:hint="eastAsia" w:ascii="Times New Roman" w:hAnsi="Times New Roman" w:cs="Times New Roman"/>
                <w:sz w:val="22"/>
              </w:rPr>
              <w:t>7468.86</w:t>
            </w:r>
          </w:p>
        </w:tc>
        <w:tc>
          <w:tcPr>
            <w:tcW w:w="3461" w:type="dxa"/>
            <w:shd w:val="clear" w:color="auto" w:fill="auto"/>
            <w:tcMar>
              <w:top w:w="15" w:type="dxa"/>
              <w:left w:w="15" w:type="dxa"/>
              <w:right w:w="15" w:type="dxa"/>
            </w:tcMar>
          </w:tcPr>
          <w:p w14:paraId="11AE1936">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0.15</w:t>
            </w:r>
          </w:p>
        </w:tc>
      </w:tr>
      <w:tr w14:paraId="76496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2676" w:type="dxa"/>
            <w:shd w:val="clear" w:color="auto" w:fill="auto"/>
            <w:tcMar>
              <w:top w:w="15" w:type="dxa"/>
              <w:left w:w="15" w:type="dxa"/>
              <w:right w:w="15" w:type="dxa"/>
            </w:tcMar>
          </w:tcPr>
          <w:p w14:paraId="6F3281B1">
            <w:pPr>
              <w:widowControl/>
              <w:jc w:val="center"/>
              <w:textAlignment w:val="top"/>
              <w:rPr>
                <w:rFonts w:ascii="Times New Roman" w:hAnsi="Times New Roman" w:eastAsia="宋体" w:cs="Times New Roman"/>
                <w:kern w:val="0"/>
                <w:sz w:val="22"/>
              </w:rPr>
            </w:pPr>
            <w:r>
              <w:rPr>
                <w:rFonts w:ascii="Times New Roman" w:hAnsi="Times New Roman" w:eastAsia="宋体" w:cs="Times New Roman"/>
                <w:kern w:val="0"/>
                <w:sz w:val="22"/>
              </w:rPr>
              <w:t>总计</w:t>
            </w:r>
          </w:p>
        </w:tc>
        <w:tc>
          <w:tcPr>
            <w:tcW w:w="2844" w:type="dxa"/>
            <w:shd w:val="clear" w:color="auto" w:fill="auto"/>
            <w:tcMar>
              <w:top w:w="15" w:type="dxa"/>
              <w:left w:w="15" w:type="dxa"/>
              <w:right w:w="15" w:type="dxa"/>
            </w:tcMar>
          </w:tcPr>
          <w:p w14:paraId="6CDCFA50">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5092449.10</w:t>
            </w:r>
          </w:p>
        </w:tc>
        <w:tc>
          <w:tcPr>
            <w:tcW w:w="3461" w:type="dxa"/>
            <w:shd w:val="clear" w:color="auto" w:fill="auto"/>
            <w:tcMar>
              <w:top w:w="15" w:type="dxa"/>
              <w:left w:w="15" w:type="dxa"/>
              <w:right w:w="15" w:type="dxa"/>
            </w:tcMar>
          </w:tcPr>
          <w:p w14:paraId="5E29D48C">
            <w:pPr>
              <w:widowControl/>
              <w:jc w:val="center"/>
              <w:textAlignment w:val="top"/>
              <w:rPr>
                <w:rFonts w:ascii="Times New Roman" w:hAnsi="Times New Roman" w:eastAsia="宋体" w:cs="Times New Roman"/>
                <w:kern w:val="0"/>
                <w:sz w:val="22"/>
              </w:rPr>
            </w:pPr>
            <w:r>
              <w:rPr>
                <w:rFonts w:hint="eastAsia" w:ascii="Times New Roman" w:hAnsi="Times New Roman" w:eastAsia="宋体" w:cs="Times New Roman"/>
                <w:kern w:val="0"/>
                <w:sz w:val="22"/>
              </w:rPr>
              <w:t>100.00</w:t>
            </w:r>
          </w:p>
        </w:tc>
      </w:tr>
    </w:tbl>
    <w:p w14:paraId="16305422">
      <w:pPr>
        <w:jc w:val="left"/>
        <w:rPr>
          <w:sz w:val="18"/>
          <w:szCs w:val="18"/>
        </w:rPr>
      </w:pPr>
      <w:r>
        <w:rPr>
          <w:rFonts w:hint="eastAsia"/>
          <w:sz w:val="18"/>
          <w:szCs w:val="18"/>
        </w:rPr>
        <w:t>备注：其他草地由于地类变更等原因未能定等级。</w:t>
      </w:r>
    </w:p>
    <w:p w14:paraId="55053601">
      <w:pPr>
        <w:rPr>
          <w:sz w:val="18"/>
          <w:szCs w:val="18"/>
        </w:rPr>
      </w:pPr>
      <w:r>
        <w:rPr>
          <w:sz w:val="18"/>
          <w:szCs w:val="18"/>
        </w:rPr>
        <w:br w:type="page"/>
      </w:r>
    </w:p>
    <w:p w14:paraId="0653E911">
      <w:pPr>
        <w:jc w:val="left"/>
        <w:rPr>
          <w:sz w:val="18"/>
          <w:szCs w:val="18"/>
        </w:rPr>
      </w:pPr>
      <w:r>
        <w:drawing>
          <wp:inline distT="0" distB="0" distL="114300" distR="114300">
            <wp:extent cx="5680710" cy="3673475"/>
            <wp:effectExtent l="0" t="0" r="15240" b="317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18" cstate="print"/>
                    <a:stretch>
                      <a:fillRect/>
                    </a:stretch>
                  </pic:blipFill>
                  <pic:spPr>
                    <a:xfrm>
                      <a:off x="0" y="0"/>
                      <a:ext cx="5680710" cy="3673475"/>
                    </a:xfrm>
                    <a:prstGeom prst="rect">
                      <a:avLst/>
                    </a:prstGeom>
                    <a:noFill/>
                    <a:ln>
                      <a:noFill/>
                    </a:ln>
                  </pic:spPr>
                </pic:pic>
              </a:graphicData>
            </a:graphic>
          </wp:inline>
        </w:drawing>
      </w:r>
    </w:p>
    <w:p w14:paraId="5D7B82E1">
      <w:pPr>
        <w:spacing w:beforeLines="50"/>
        <w:jc w:val="center"/>
        <w:rPr>
          <w:rFonts w:eastAsia="黑体"/>
        </w:rPr>
      </w:pPr>
      <w:r>
        <w:rPr>
          <w:rFonts w:hint="eastAsia" w:ascii="Times New Roman" w:hAnsi="Times New Roman" w:eastAsia="黑体" w:cs="Times New Roman"/>
          <w:sz w:val="24"/>
          <w:szCs w:val="21"/>
        </w:rPr>
        <w:t>图3-5昌都市草原健康等级分布图</w:t>
      </w:r>
    </w:p>
    <w:p w14:paraId="44C37807">
      <w:pPr>
        <w:jc w:val="left"/>
      </w:pPr>
    </w:p>
    <w:p w14:paraId="104D6F89">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分县（区）草原健康状况</w:t>
      </w:r>
    </w:p>
    <w:p w14:paraId="65C3313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健康等级为Ⅰ级（健康）占比超过10%的县有1个，分别为江达县、丁青县、察雅县、卡若区，面积和占比依次为564860.34公顷、363515.74公顷、310971.23公顷、274126.84公顷、20.72%、13.33%、11.41%、10.05%。面积最小的县为洛隆县，面积98898.21公顷，占全市草原健康等级I级的比例为3.66%。</w:t>
      </w:r>
    </w:p>
    <w:p w14:paraId="45BB0F52">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健康等级为Ⅱ级（亚健康）占比超过10%的县有四个，分别为丁青县、左贡县、江达县、边坝县。面积和占比依次为273162.18公顷、231694.03公顷、159312.98公顷、133637.38公顷、21.36%、18.12%、12.46%、10.45%。面积最小的为卡若区，面积40442.28公顷，占全市草原健康等级Ⅱ级的比例为3.16%。</w:t>
      </w:r>
    </w:p>
    <w:p w14:paraId="0C18140F">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健康等级为Ⅲ级（不健康）占比超过10%的县有四个，为八宿县、丁青县、边坝县、洛隆县，面积和占比依次为204927.17公顷、204819.67公顷、135566.15公顷、91924.83公顷、22.72%、22.70%、15.03%、10.19%。面积最小的为贡觉县，面积16436.97公顷，占全市草原健康等级III级的比例为1.82%。</w:t>
      </w:r>
    </w:p>
    <w:p w14:paraId="1CE57D87">
      <w:pPr>
        <w:spacing w:line="360" w:lineRule="auto"/>
        <w:ind w:firstLine="480" w:firstLineChars="200"/>
        <w:rPr>
          <w:rFonts w:ascii="Times New Roman" w:hAnsi="Times New Roman" w:eastAsia="FZFangSong-Z02S" w:cs="Times New Roman"/>
          <w:sz w:val="24"/>
          <w:szCs w:val="24"/>
        </w:rPr>
      </w:pPr>
      <w:r>
        <w:rPr>
          <w:rFonts w:ascii="Times New Roman" w:hAnsi="Times New Roman" w:cs="Times New Roman"/>
          <w:sz w:val="24"/>
          <w:szCs w:val="24"/>
        </w:rPr>
        <w:t>草原健康等级为Ⅳ级（极不健康）占比超过10%的县有四个，为八宿县、左贡县、芒康县、丁青县，面积和占比依次为72363.80公顷、24231.78公顷、21914.63公顷、19942.26公顷、40.82%、13.67%、12.36%、11.25%。面积最小的为贡觉县，面积582.02公顷，占全市草原健康等级IV级的比例为0.33%。</w:t>
      </w:r>
    </w:p>
    <w:p w14:paraId="0F2B652E">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表3-7昌都市不同健康等级草原面积统计表</w:t>
      </w:r>
    </w:p>
    <w:tbl>
      <w:tblPr>
        <w:tblStyle w:val="24"/>
        <w:tblW w:w="89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93"/>
        <w:gridCol w:w="2455"/>
        <w:gridCol w:w="2566"/>
        <w:gridCol w:w="2367"/>
      </w:tblGrid>
      <w:tr w14:paraId="7C570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593" w:type="dxa"/>
            <w:shd w:val="clear" w:color="auto" w:fill="auto"/>
            <w:noWrap/>
            <w:tcMar>
              <w:top w:w="15" w:type="dxa"/>
              <w:left w:w="15" w:type="dxa"/>
              <w:right w:w="15" w:type="dxa"/>
            </w:tcMar>
            <w:vAlign w:val="center"/>
          </w:tcPr>
          <w:p w14:paraId="3748ECB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健康等级</w:t>
            </w:r>
          </w:p>
        </w:tc>
        <w:tc>
          <w:tcPr>
            <w:tcW w:w="2455" w:type="dxa"/>
            <w:shd w:val="clear" w:color="auto" w:fill="auto"/>
            <w:noWrap/>
            <w:tcMar>
              <w:top w:w="15" w:type="dxa"/>
              <w:left w:w="15" w:type="dxa"/>
              <w:right w:w="15" w:type="dxa"/>
            </w:tcMar>
            <w:vAlign w:val="center"/>
          </w:tcPr>
          <w:p w14:paraId="19D4BAD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县(区)</w:t>
            </w:r>
          </w:p>
        </w:tc>
        <w:tc>
          <w:tcPr>
            <w:tcW w:w="2566" w:type="dxa"/>
            <w:shd w:val="clear" w:color="auto" w:fill="auto"/>
            <w:noWrap/>
            <w:tcMar>
              <w:top w:w="15" w:type="dxa"/>
              <w:left w:w="15" w:type="dxa"/>
              <w:right w:w="15" w:type="dxa"/>
            </w:tcMar>
            <w:vAlign w:val="center"/>
          </w:tcPr>
          <w:p w14:paraId="001070C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2367" w:type="dxa"/>
            <w:shd w:val="clear" w:color="auto" w:fill="auto"/>
            <w:noWrap/>
            <w:tcMar>
              <w:top w:w="15" w:type="dxa"/>
              <w:left w:w="15" w:type="dxa"/>
              <w:right w:w="15" w:type="dxa"/>
            </w:tcMar>
            <w:vAlign w:val="center"/>
          </w:tcPr>
          <w:p w14:paraId="64C5024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占比(%)</w:t>
            </w:r>
          </w:p>
        </w:tc>
      </w:tr>
      <w:tr w14:paraId="703E5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3D6AADF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I</w:t>
            </w:r>
          </w:p>
        </w:tc>
        <w:tc>
          <w:tcPr>
            <w:tcW w:w="2455" w:type="dxa"/>
            <w:shd w:val="clear" w:color="auto" w:fill="auto"/>
            <w:noWrap/>
            <w:tcMar>
              <w:top w:w="15" w:type="dxa"/>
              <w:left w:w="15" w:type="dxa"/>
              <w:right w:w="15" w:type="dxa"/>
            </w:tcMar>
            <w:vAlign w:val="center"/>
          </w:tcPr>
          <w:p w14:paraId="7673F08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61D6F3F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2726574.19 </w:t>
            </w:r>
          </w:p>
        </w:tc>
        <w:tc>
          <w:tcPr>
            <w:tcW w:w="2367" w:type="dxa"/>
            <w:shd w:val="clear" w:color="auto" w:fill="auto"/>
            <w:noWrap/>
            <w:tcMar>
              <w:top w:w="15" w:type="dxa"/>
              <w:left w:w="15" w:type="dxa"/>
              <w:right w:w="15" w:type="dxa"/>
            </w:tcMar>
            <w:vAlign w:val="center"/>
          </w:tcPr>
          <w:p w14:paraId="2E44F7D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53.54 </w:t>
            </w:r>
          </w:p>
        </w:tc>
      </w:tr>
      <w:tr w14:paraId="321AC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2A8928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E9A88E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39CE7A9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274126.84 </w:t>
            </w:r>
          </w:p>
        </w:tc>
        <w:tc>
          <w:tcPr>
            <w:tcW w:w="2367" w:type="dxa"/>
            <w:shd w:val="clear" w:color="auto" w:fill="auto"/>
            <w:noWrap/>
            <w:tcMar>
              <w:top w:w="15" w:type="dxa"/>
              <w:left w:w="15" w:type="dxa"/>
              <w:right w:w="15" w:type="dxa"/>
            </w:tcMar>
            <w:vAlign w:val="center"/>
          </w:tcPr>
          <w:p w14:paraId="5D5947D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10.05 </w:t>
            </w:r>
          </w:p>
        </w:tc>
      </w:tr>
      <w:tr w14:paraId="1D05D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267AB2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F37B16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6443BB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564860.34 </w:t>
            </w:r>
          </w:p>
        </w:tc>
        <w:tc>
          <w:tcPr>
            <w:tcW w:w="2367" w:type="dxa"/>
            <w:shd w:val="clear" w:color="auto" w:fill="auto"/>
            <w:noWrap/>
            <w:tcMar>
              <w:top w:w="15" w:type="dxa"/>
              <w:left w:w="15" w:type="dxa"/>
              <w:right w:w="15" w:type="dxa"/>
            </w:tcMar>
            <w:vAlign w:val="center"/>
          </w:tcPr>
          <w:p w14:paraId="0D6F0B0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20.72 </w:t>
            </w:r>
          </w:p>
        </w:tc>
      </w:tr>
      <w:tr w14:paraId="5F79D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7A16DA5">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8065C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566" w:type="dxa"/>
            <w:shd w:val="clear" w:color="auto" w:fill="auto"/>
            <w:noWrap/>
            <w:tcMar>
              <w:top w:w="15" w:type="dxa"/>
              <w:left w:w="15" w:type="dxa"/>
              <w:right w:w="15" w:type="dxa"/>
            </w:tcMar>
            <w:vAlign w:val="center"/>
          </w:tcPr>
          <w:p w14:paraId="454D170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230080.98 </w:t>
            </w:r>
          </w:p>
        </w:tc>
        <w:tc>
          <w:tcPr>
            <w:tcW w:w="2367" w:type="dxa"/>
            <w:shd w:val="clear" w:color="auto" w:fill="auto"/>
            <w:noWrap/>
            <w:tcMar>
              <w:top w:w="15" w:type="dxa"/>
              <w:left w:w="15" w:type="dxa"/>
              <w:right w:w="15" w:type="dxa"/>
            </w:tcMar>
            <w:vAlign w:val="center"/>
          </w:tcPr>
          <w:p w14:paraId="4EDDB60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8.44 </w:t>
            </w:r>
          </w:p>
        </w:tc>
      </w:tr>
      <w:tr w14:paraId="137E6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F53B77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ACBDD1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566" w:type="dxa"/>
            <w:shd w:val="clear" w:color="auto" w:fill="auto"/>
            <w:noWrap/>
            <w:tcMar>
              <w:top w:w="15" w:type="dxa"/>
              <w:left w:w="15" w:type="dxa"/>
              <w:right w:w="15" w:type="dxa"/>
            </w:tcMar>
            <w:vAlign w:val="center"/>
          </w:tcPr>
          <w:p w14:paraId="6183353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171183.97 </w:t>
            </w:r>
          </w:p>
        </w:tc>
        <w:tc>
          <w:tcPr>
            <w:tcW w:w="2367" w:type="dxa"/>
            <w:shd w:val="clear" w:color="auto" w:fill="auto"/>
            <w:noWrap/>
            <w:tcMar>
              <w:top w:w="15" w:type="dxa"/>
              <w:left w:w="15" w:type="dxa"/>
              <w:right w:w="15" w:type="dxa"/>
            </w:tcMar>
            <w:vAlign w:val="center"/>
          </w:tcPr>
          <w:p w14:paraId="188F8A5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6.28 </w:t>
            </w:r>
          </w:p>
        </w:tc>
      </w:tr>
      <w:tr w14:paraId="50AB1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E2EBCCE">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72513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27EBE1D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363515.74 </w:t>
            </w:r>
          </w:p>
        </w:tc>
        <w:tc>
          <w:tcPr>
            <w:tcW w:w="2367" w:type="dxa"/>
            <w:shd w:val="clear" w:color="auto" w:fill="auto"/>
            <w:noWrap/>
            <w:tcMar>
              <w:top w:w="15" w:type="dxa"/>
              <w:left w:w="15" w:type="dxa"/>
              <w:right w:w="15" w:type="dxa"/>
            </w:tcMar>
            <w:vAlign w:val="center"/>
          </w:tcPr>
          <w:p w14:paraId="45952F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13.33 </w:t>
            </w:r>
          </w:p>
        </w:tc>
      </w:tr>
      <w:tr w14:paraId="6D553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9231EBD">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032562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64C511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310971.23 </w:t>
            </w:r>
          </w:p>
        </w:tc>
        <w:tc>
          <w:tcPr>
            <w:tcW w:w="2367" w:type="dxa"/>
            <w:shd w:val="clear" w:color="auto" w:fill="auto"/>
            <w:noWrap/>
            <w:tcMar>
              <w:top w:w="15" w:type="dxa"/>
              <w:left w:w="15" w:type="dxa"/>
              <w:right w:w="15" w:type="dxa"/>
            </w:tcMar>
            <w:vAlign w:val="center"/>
          </w:tcPr>
          <w:p w14:paraId="12D0B17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11.41 </w:t>
            </w:r>
          </w:p>
        </w:tc>
      </w:tr>
      <w:tr w14:paraId="1019F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386439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90F08A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309EBE9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240808.38 </w:t>
            </w:r>
          </w:p>
        </w:tc>
        <w:tc>
          <w:tcPr>
            <w:tcW w:w="2367" w:type="dxa"/>
            <w:shd w:val="clear" w:color="auto" w:fill="auto"/>
            <w:noWrap/>
            <w:tcMar>
              <w:top w:w="15" w:type="dxa"/>
              <w:left w:w="15" w:type="dxa"/>
              <w:right w:w="15" w:type="dxa"/>
            </w:tcMar>
            <w:vAlign w:val="center"/>
          </w:tcPr>
          <w:p w14:paraId="41EA2D9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8.83 </w:t>
            </w:r>
          </w:p>
        </w:tc>
      </w:tr>
      <w:tr w14:paraId="3E660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9A63D73">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0D99E4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3A475CE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159845.40 </w:t>
            </w:r>
          </w:p>
        </w:tc>
        <w:tc>
          <w:tcPr>
            <w:tcW w:w="2367" w:type="dxa"/>
            <w:shd w:val="clear" w:color="auto" w:fill="auto"/>
            <w:noWrap/>
            <w:tcMar>
              <w:top w:w="15" w:type="dxa"/>
              <w:left w:w="15" w:type="dxa"/>
              <w:right w:w="15" w:type="dxa"/>
            </w:tcMar>
            <w:vAlign w:val="center"/>
          </w:tcPr>
          <w:p w14:paraId="6FF351F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5.86 </w:t>
            </w:r>
          </w:p>
        </w:tc>
      </w:tr>
      <w:tr w14:paraId="2482A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82AF2E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C10D55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2EA44EE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178400.23 </w:t>
            </w:r>
          </w:p>
        </w:tc>
        <w:tc>
          <w:tcPr>
            <w:tcW w:w="2367" w:type="dxa"/>
            <w:shd w:val="clear" w:color="auto" w:fill="auto"/>
            <w:noWrap/>
            <w:tcMar>
              <w:top w:w="15" w:type="dxa"/>
              <w:left w:w="15" w:type="dxa"/>
              <w:right w:w="15" w:type="dxa"/>
            </w:tcMar>
            <w:vAlign w:val="center"/>
          </w:tcPr>
          <w:p w14:paraId="6249524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6.54 </w:t>
            </w:r>
          </w:p>
        </w:tc>
      </w:tr>
      <w:tr w14:paraId="29494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4F0181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2F895E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7878EF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99898.21 </w:t>
            </w:r>
          </w:p>
        </w:tc>
        <w:tc>
          <w:tcPr>
            <w:tcW w:w="2367" w:type="dxa"/>
            <w:shd w:val="clear" w:color="auto" w:fill="auto"/>
            <w:noWrap/>
            <w:tcMar>
              <w:top w:w="15" w:type="dxa"/>
              <w:left w:w="15" w:type="dxa"/>
              <w:right w:w="15" w:type="dxa"/>
            </w:tcMar>
            <w:vAlign w:val="center"/>
          </w:tcPr>
          <w:p w14:paraId="72F25A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3.66 </w:t>
            </w:r>
          </w:p>
        </w:tc>
      </w:tr>
      <w:tr w14:paraId="77E22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B2C1DF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D3D97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22F0285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132882.87 </w:t>
            </w:r>
          </w:p>
        </w:tc>
        <w:tc>
          <w:tcPr>
            <w:tcW w:w="2367" w:type="dxa"/>
            <w:shd w:val="clear" w:color="auto" w:fill="auto"/>
            <w:noWrap/>
            <w:tcMar>
              <w:top w:w="15" w:type="dxa"/>
              <w:left w:w="15" w:type="dxa"/>
              <w:right w:w="15" w:type="dxa"/>
            </w:tcMar>
            <w:vAlign w:val="center"/>
          </w:tcPr>
          <w:p w14:paraId="7CD7FBC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4.87 </w:t>
            </w:r>
          </w:p>
        </w:tc>
      </w:tr>
      <w:tr w14:paraId="2C503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0944D6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Ⅱ</w:t>
            </w:r>
          </w:p>
        </w:tc>
        <w:tc>
          <w:tcPr>
            <w:tcW w:w="2455" w:type="dxa"/>
            <w:shd w:val="clear" w:color="auto" w:fill="auto"/>
            <w:noWrap/>
            <w:tcMar>
              <w:top w:w="15" w:type="dxa"/>
              <w:left w:w="15" w:type="dxa"/>
              <w:right w:w="15" w:type="dxa"/>
            </w:tcMar>
            <w:vAlign w:val="center"/>
          </w:tcPr>
          <w:p w14:paraId="29E1C01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00E2640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1278978.64 </w:t>
            </w:r>
          </w:p>
        </w:tc>
        <w:tc>
          <w:tcPr>
            <w:tcW w:w="2367" w:type="dxa"/>
            <w:shd w:val="clear" w:color="auto" w:fill="auto"/>
            <w:noWrap/>
            <w:tcMar>
              <w:top w:w="15" w:type="dxa"/>
              <w:left w:w="15" w:type="dxa"/>
              <w:right w:w="15" w:type="dxa"/>
            </w:tcMar>
            <w:vAlign w:val="center"/>
          </w:tcPr>
          <w:p w14:paraId="2FDAE8A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25.12 </w:t>
            </w:r>
          </w:p>
        </w:tc>
      </w:tr>
      <w:tr w14:paraId="5AFE3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4B20D9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A9ADC5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210A00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40442.28 </w:t>
            </w:r>
          </w:p>
        </w:tc>
        <w:tc>
          <w:tcPr>
            <w:tcW w:w="2367" w:type="dxa"/>
            <w:shd w:val="clear" w:color="auto" w:fill="auto"/>
            <w:noWrap/>
            <w:tcMar>
              <w:top w:w="15" w:type="dxa"/>
              <w:left w:w="15" w:type="dxa"/>
              <w:right w:w="15" w:type="dxa"/>
            </w:tcMar>
            <w:vAlign w:val="center"/>
          </w:tcPr>
          <w:p w14:paraId="4AEF71D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3.16 </w:t>
            </w:r>
          </w:p>
        </w:tc>
      </w:tr>
      <w:tr w14:paraId="6C786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0789E0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927151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01EAF9E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159312.98 </w:t>
            </w:r>
          </w:p>
        </w:tc>
        <w:tc>
          <w:tcPr>
            <w:tcW w:w="2367" w:type="dxa"/>
            <w:shd w:val="clear" w:color="auto" w:fill="auto"/>
            <w:noWrap/>
            <w:tcMar>
              <w:top w:w="15" w:type="dxa"/>
              <w:left w:w="15" w:type="dxa"/>
              <w:right w:w="15" w:type="dxa"/>
            </w:tcMar>
            <w:vAlign w:val="center"/>
          </w:tcPr>
          <w:p w14:paraId="1B7F894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12.46 </w:t>
            </w:r>
          </w:p>
        </w:tc>
      </w:tr>
      <w:tr w14:paraId="7D79C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618635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1E14DC3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566" w:type="dxa"/>
            <w:shd w:val="clear" w:color="auto" w:fill="auto"/>
            <w:noWrap/>
            <w:tcMar>
              <w:top w:w="15" w:type="dxa"/>
              <w:left w:w="15" w:type="dxa"/>
              <w:right w:w="15" w:type="dxa"/>
            </w:tcMar>
            <w:vAlign w:val="center"/>
          </w:tcPr>
          <w:p w14:paraId="5BAF6B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51988.42 </w:t>
            </w:r>
          </w:p>
        </w:tc>
        <w:tc>
          <w:tcPr>
            <w:tcW w:w="2367" w:type="dxa"/>
            <w:shd w:val="clear" w:color="auto" w:fill="auto"/>
            <w:noWrap/>
            <w:tcMar>
              <w:top w:w="15" w:type="dxa"/>
              <w:left w:w="15" w:type="dxa"/>
              <w:right w:w="15" w:type="dxa"/>
            </w:tcMar>
            <w:vAlign w:val="center"/>
          </w:tcPr>
          <w:p w14:paraId="5066114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4.06 </w:t>
            </w:r>
          </w:p>
        </w:tc>
      </w:tr>
      <w:tr w14:paraId="3736D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F47CB0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770FFD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566" w:type="dxa"/>
            <w:shd w:val="clear" w:color="auto" w:fill="auto"/>
            <w:noWrap/>
            <w:tcMar>
              <w:top w:w="15" w:type="dxa"/>
              <w:left w:w="15" w:type="dxa"/>
              <w:right w:w="15" w:type="dxa"/>
            </w:tcMar>
            <w:vAlign w:val="center"/>
          </w:tcPr>
          <w:p w14:paraId="10CD0AA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98533.09 </w:t>
            </w:r>
          </w:p>
        </w:tc>
        <w:tc>
          <w:tcPr>
            <w:tcW w:w="2367" w:type="dxa"/>
            <w:shd w:val="clear" w:color="auto" w:fill="auto"/>
            <w:noWrap/>
            <w:tcMar>
              <w:top w:w="15" w:type="dxa"/>
              <w:left w:w="15" w:type="dxa"/>
              <w:right w:w="15" w:type="dxa"/>
            </w:tcMar>
            <w:vAlign w:val="center"/>
          </w:tcPr>
          <w:p w14:paraId="123FBFB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7.70 </w:t>
            </w:r>
          </w:p>
        </w:tc>
      </w:tr>
      <w:tr w14:paraId="016A6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143F1EE">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F0564B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14B477E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273162.18 </w:t>
            </w:r>
          </w:p>
        </w:tc>
        <w:tc>
          <w:tcPr>
            <w:tcW w:w="2367" w:type="dxa"/>
            <w:shd w:val="clear" w:color="auto" w:fill="auto"/>
            <w:noWrap/>
            <w:tcMar>
              <w:top w:w="15" w:type="dxa"/>
              <w:left w:w="15" w:type="dxa"/>
              <w:right w:w="15" w:type="dxa"/>
            </w:tcMar>
            <w:vAlign w:val="center"/>
          </w:tcPr>
          <w:p w14:paraId="346723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21.36 </w:t>
            </w:r>
          </w:p>
        </w:tc>
      </w:tr>
      <w:tr w14:paraId="2332A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6D92CC3">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9F5916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43D71D6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72538.42 </w:t>
            </w:r>
          </w:p>
        </w:tc>
        <w:tc>
          <w:tcPr>
            <w:tcW w:w="2367" w:type="dxa"/>
            <w:shd w:val="clear" w:color="auto" w:fill="auto"/>
            <w:noWrap/>
            <w:tcMar>
              <w:top w:w="15" w:type="dxa"/>
              <w:left w:w="15" w:type="dxa"/>
              <w:right w:w="15" w:type="dxa"/>
            </w:tcMar>
            <w:vAlign w:val="center"/>
          </w:tcPr>
          <w:p w14:paraId="31220DD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5.67 </w:t>
            </w:r>
          </w:p>
        </w:tc>
      </w:tr>
      <w:tr w14:paraId="3C4AD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23E059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D6BDF1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30CE452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118315.39 </w:t>
            </w:r>
          </w:p>
        </w:tc>
        <w:tc>
          <w:tcPr>
            <w:tcW w:w="2367" w:type="dxa"/>
            <w:shd w:val="clear" w:color="auto" w:fill="auto"/>
            <w:noWrap/>
            <w:tcMar>
              <w:top w:w="15" w:type="dxa"/>
              <w:left w:w="15" w:type="dxa"/>
              <w:right w:w="15" w:type="dxa"/>
            </w:tcMar>
            <w:vAlign w:val="center"/>
          </w:tcPr>
          <w:p w14:paraId="4491A0F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9.25 </w:t>
            </w:r>
          </w:p>
        </w:tc>
      </w:tr>
      <w:tr w14:paraId="793BB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7B58F8FA">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2730E9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19553D4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231694.03 </w:t>
            </w:r>
          </w:p>
        </w:tc>
        <w:tc>
          <w:tcPr>
            <w:tcW w:w="2367" w:type="dxa"/>
            <w:shd w:val="clear" w:color="auto" w:fill="auto"/>
            <w:noWrap/>
            <w:tcMar>
              <w:top w:w="15" w:type="dxa"/>
              <w:left w:w="15" w:type="dxa"/>
              <w:right w:w="15" w:type="dxa"/>
            </w:tcMar>
            <w:vAlign w:val="center"/>
          </w:tcPr>
          <w:p w14:paraId="3B62CEB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18.12 </w:t>
            </w:r>
          </w:p>
        </w:tc>
      </w:tr>
      <w:tr w14:paraId="121F0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8BAE80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1A0D7F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0228C1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50271.05 </w:t>
            </w:r>
          </w:p>
        </w:tc>
        <w:tc>
          <w:tcPr>
            <w:tcW w:w="2367" w:type="dxa"/>
            <w:shd w:val="clear" w:color="auto" w:fill="auto"/>
            <w:noWrap/>
            <w:tcMar>
              <w:top w:w="15" w:type="dxa"/>
              <w:left w:w="15" w:type="dxa"/>
              <w:right w:w="15" w:type="dxa"/>
            </w:tcMar>
            <w:vAlign w:val="center"/>
          </w:tcPr>
          <w:p w14:paraId="320341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3.93 </w:t>
            </w:r>
          </w:p>
        </w:tc>
      </w:tr>
      <w:tr w14:paraId="64CFE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726C47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C09DB5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6435F8F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49083.42 </w:t>
            </w:r>
          </w:p>
        </w:tc>
        <w:tc>
          <w:tcPr>
            <w:tcW w:w="2367" w:type="dxa"/>
            <w:shd w:val="clear" w:color="auto" w:fill="auto"/>
            <w:noWrap/>
            <w:tcMar>
              <w:top w:w="15" w:type="dxa"/>
              <w:left w:w="15" w:type="dxa"/>
              <w:right w:w="15" w:type="dxa"/>
            </w:tcMar>
            <w:vAlign w:val="center"/>
          </w:tcPr>
          <w:p w14:paraId="1DBECB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3.84 </w:t>
            </w:r>
          </w:p>
        </w:tc>
      </w:tr>
      <w:tr w14:paraId="1B66C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28C15D4">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0E0432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05C5513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133637.38 </w:t>
            </w:r>
          </w:p>
        </w:tc>
        <w:tc>
          <w:tcPr>
            <w:tcW w:w="2367" w:type="dxa"/>
            <w:shd w:val="clear" w:color="auto" w:fill="auto"/>
            <w:noWrap/>
            <w:tcMar>
              <w:top w:w="15" w:type="dxa"/>
              <w:left w:w="15" w:type="dxa"/>
              <w:right w:w="15" w:type="dxa"/>
            </w:tcMar>
            <w:vAlign w:val="center"/>
          </w:tcPr>
          <w:p w14:paraId="7B12CC1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10.45 </w:t>
            </w:r>
          </w:p>
        </w:tc>
      </w:tr>
      <w:tr w14:paraId="2C611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4D3C84D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III</w:t>
            </w:r>
          </w:p>
        </w:tc>
        <w:tc>
          <w:tcPr>
            <w:tcW w:w="2455" w:type="dxa"/>
            <w:shd w:val="clear" w:color="auto" w:fill="auto"/>
            <w:noWrap/>
            <w:tcMar>
              <w:top w:w="15" w:type="dxa"/>
              <w:left w:w="15" w:type="dxa"/>
              <w:right w:w="15" w:type="dxa"/>
            </w:tcMar>
            <w:vAlign w:val="center"/>
          </w:tcPr>
          <w:p w14:paraId="150ECA5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18025D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902166.51 </w:t>
            </w:r>
          </w:p>
        </w:tc>
        <w:tc>
          <w:tcPr>
            <w:tcW w:w="2367" w:type="dxa"/>
            <w:shd w:val="clear" w:color="auto" w:fill="auto"/>
            <w:noWrap/>
            <w:tcMar>
              <w:top w:w="15" w:type="dxa"/>
              <w:left w:w="15" w:type="dxa"/>
              <w:right w:w="15" w:type="dxa"/>
            </w:tcMar>
            <w:vAlign w:val="center"/>
          </w:tcPr>
          <w:p w14:paraId="629E4A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 </w:t>
            </w:r>
          </w:p>
        </w:tc>
      </w:tr>
      <w:tr w14:paraId="50208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7D8F824">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F4815E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3FD6E8D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23114.36 </w:t>
            </w:r>
          </w:p>
        </w:tc>
        <w:tc>
          <w:tcPr>
            <w:tcW w:w="2367" w:type="dxa"/>
            <w:shd w:val="clear" w:color="auto" w:fill="auto"/>
            <w:noWrap/>
            <w:tcMar>
              <w:top w:w="15" w:type="dxa"/>
              <w:left w:w="15" w:type="dxa"/>
              <w:right w:w="15" w:type="dxa"/>
            </w:tcMar>
            <w:vAlign w:val="center"/>
          </w:tcPr>
          <w:p w14:paraId="1FF0C2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2.56 </w:t>
            </w:r>
          </w:p>
        </w:tc>
      </w:tr>
      <w:tr w14:paraId="0BB6A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051CCA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BF1597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2A303DF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24060.89 </w:t>
            </w:r>
          </w:p>
        </w:tc>
        <w:tc>
          <w:tcPr>
            <w:tcW w:w="2367" w:type="dxa"/>
            <w:shd w:val="clear" w:color="auto" w:fill="auto"/>
            <w:noWrap/>
            <w:tcMar>
              <w:top w:w="15" w:type="dxa"/>
              <w:left w:w="15" w:type="dxa"/>
              <w:right w:w="15" w:type="dxa"/>
            </w:tcMar>
            <w:vAlign w:val="center"/>
          </w:tcPr>
          <w:p w14:paraId="5A1B4B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2.67 </w:t>
            </w:r>
          </w:p>
        </w:tc>
      </w:tr>
      <w:tr w14:paraId="48B33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5B4F48D">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10ADDA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页觉县</w:t>
            </w:r>
          </w:p>
        </w:tc>
        <w:tc>
          <w:tcPr>
            <w:tcW w:w="2566" w:type="dxa"/>
            <w:shd w:val="clear" w:color="auto" w:fill="auto"/>
            <w:noWrap/>
            <w:tcMar>
              <w:top w:w="15" w:type="dxa"/>
              <w:left w:w="15" w:type="dxa"/>
              <w:right w:w="15" w:type="dxa"/>
            </w:tcMar>
            <w:vAlign w:val="center"/>
          </w:tcPr>
          <w:p w14:paraId="691B81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16436.97 </w:t>
            </w:r>
          </w:p>
        </w:tc>
        <w:tc>
          <w:tcPr>
            <w:tcW w:w="2367" w:type="dxa"/>
            <w:shd w:val="clear" w:color="auto" w:fill="auto"/>
            <w:noWrap/>
            <w:tcMar>
              <w:top w:w="15" w:type="dxa"/>
              <w:left w:w="15" w:type="dxa"/>
              <w:right w:w="15" w:type="dxa"/>
            </w:tcMar>
            <w:vAlign w:val="center"/>
          </w:tcPr>
          <w:p w14:paraId="3CADD25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1.82 </w:t>
            </w:r>
          </w:p>
        </w:tc>
      </w:tr>
      <w:tr w14:paraId="4ACD1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0CAC49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75CD8F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美乌齐县</w:t>
            </w:r>
          </w:p>
        </w:tc>
        <w:tc>
          <w:tcPr>
            <w:tcW w:w="2566" w:type="dxa"/>
            <w:shd w:val="clear" w:color="auto" w:fill="auto"/>
            <w:noWrap/>
            <w:tcMar>
              <w:top w:w="15" w:type="dxa"/>
              <w:left w:w="15" w:type="dxa"/>
              <w:right w:w="15" w:type="dxa"/>
            </w:tcMar>
            <w:vAlign w:val="center"/>
          </w:tcPr>
          <w:p w14:paraId="196873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42001.47 </w:t>
            </w:r>
          </w:p>
        </w:tc>
        <w:tc>
          <w:tcPr>
            <w:tcW w:w="2367" w:type="dxa"/>
            <w:shd w:val="clear" w:color="auto" w:fill="auto"/>
            <w:noWrap/>
            <w:tcMar>
              <w:top w:w="15" w:type="dxa"/>
              <w:left w:w="15" w:type="dxa"/>
              <w:right w:w="15" w:type="dxa"/>
            </w:tcMar>
            <w:vAlign w:val="center"/>
          </w:tcPr>
          <w:p w14:paraId="77D508F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4.66 </w:t>
            </w:r>
          </w:p>
        </w:tc>
      </w:tr>
      <w:tr w14:paraId="73A33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09202BE3">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62C48E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74844C7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204927.17 </w:t>
            </w:r>
          </w:p>
        </w:tc>
        <w:tc>
          <w:tcPr>
            <w:tcW w:w="2367" w:type="dxa"/>
            <w:shd w:val="clear" w:color="auto" w:fill="auto"/>
            <w:noWrap/>
            <w:tcMar>
              <w:top w:w="15" w:type="dxa"/>
              <w:left w:w="15" w:type="dxa"/>
              <w:right w:w="15" w:type="dxa"/>
            </w:tcMar>
            <w:vAlign w:val="center"/>
          </w:tcPr>
          <w:p w14:paraId="70CEC0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22.72 </w:t>
            </w:r>
          </w:p>
        </w:tc>
      </w:tr>
      <w:tr w14:paraId="41310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878FD7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846C5D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0B281D2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48534.98 </w:t>
            </w:r>
          </w:p>
        </w:tc>
        <w:tc>
          <w:tcPr>
            <w:tcW w:w="2367" w:type="dxa"/>
            <w:shd w:val="clear" w:color="auto" w:fill="auto"/>
            <w:noWrap/>
            <w:tcMar>
              <w:top w:w="15" w:type="dxa"/>
              <w:left w:w="15" w:type="dxa"/>
              <w:right w:w="15" w:type="dxa"/>
            </w:tcMar>
            <w:vAlign w:val="center"/>
          </w:tcPr>
          <w:p w14:paraId="34F4AC2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5.38 </w:t>
            </w:r>
          </w:p>
        </w:tc>
      </w:tr>
      <w:tr w14:paraId="7AB2B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2FF030E">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6521C5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73E1AF4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204819.67 </w:t>
            </w:r>
          </w:p>
        </w:tc>
        <w:tc>
          <w:tcPr>
            <w:tcW w:w="2367" w:type="dxa"/>
            <w:shd w:val="clear" w:color="auto" w:fill="auto"/>
            <w:noWrap/>
            <w:tcMar>
              <w:top w:w="15" w:type="dxa"/>
              <w:left w:w="15" w:type="dxa"/>
              <w:right w:w="15" w:type="dxa"/>
            </w:tcMar>
            <w:vAlign w:val="center"/>
          </w:tcPr>
          <w:p w14:paraId="2DB57CA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22.70 </w:t>
            </w:r>
          </w:p>
        </w:tc>
      </w:tr>
      <w:tr w14:paraId="73ABD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7D1AE71">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17E749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685531F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89399.00 </w:t>
            </w:r>
          </w:p>
        </w:tc>
        <w:tc>
          <w:tcPr>
            <w:tcW w:w="2367" w:type="dxa"/>
            <w:shd w:val="clear" w:color="auto" w:fill="auto"/>
            <w:noWrap/>
            <w:tcMar>
              <w:top w:w="15" w:type="dxa"/>
              <w:left w:w="15" w:type="dxa"/>
              <w:right w:w="15" w:type="dxa"/>
            </w:tcMar>
            <w:vAlign w:val="center"/>
          </w:tcPr>
          <w:p w14:paraId="5D5F020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9.91 </w:t>
            </w:r>
          </w:p>
        </w:tc>
      </w:tr>
      <w:tr w14:paraId="20AA9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9ADD766">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D6C3EE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47581B2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21381.02 </w:t>
            </w:r>
          </w:p>
        </w:tc>
        <w:tc>
          <w:tcPr>
            <w:tcW w:w="2367" w:type="dxa"/>
            <w:shd w:val="clear" w:color="auto" w:fill="auto"/>
            <w:noWrap/>
            <w:tcMar>
              <w:top w:w="15" w:type="dxa"/>
              <w:left w:w="15" w:type="dxa"/>
              <w:right w:w="15" w:type="dxa"/>
            </w:tcMar>
            <w:vAlign w:val="center"/>
          </w:tcPr>
          <w:p w14:paraId="019A5AA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2.37 </w:t>
            </w:r>
          </w:p>
        </w:tc>
      </w:tr>
      <w:tr w14:paraId="11016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E3F9CD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518DF7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5D08BE7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91924.83 </w:t>
            </w:r>
          </w:p>
        </w:tc>
        <w:tc>
          <w:tcPr>
            <w:tcW w:w="2367" w:type="dxa"/>
            <w:shd w:val="clear" w:color="auto" w:fill="auto"/>
            <w:noWrap/>
            <w:tcMar>
              <w:top w:w="15" w:type="dxa"/>
              <w:left w:w="15" w:type="dxa"/>
              <w:right w:w="15" w:type="dxa"/>
            </w:tcMar>
            <w:vAlign w:val="center"/>
          </w:tcPr>
          <w:p w14:paraId="6D614DB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10.19 </w:t>
            </w:r>
          </w:p>
        </w:tc>
      </w:tr>
      <w:tr w14:paraId="50EAF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E4716F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ED9531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32E5E40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135566.15 </w:t>
            </w:r>
          </w:p>
        </w:tc>
        <w:tc>
          <w:tcPr>
            <w:tcW w:w="2367" w:type="dxa"/>
            <w:shd w:val="clear" w:color="auto" w:fill="auto"/>
            <w:noWrap/>
            <w:tcMar>
              <w:top w:w="15" w:type="dxa"/>
              <w:left w:w="15" w:type="dxa"/>
              <w:right w:w="15" w:type="dxa"/>
            </w:tcMar>
            <w:vAlign w:val="center"/>
          </w:tcPr>
          <w:p w14:paraId="15471B9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15.03 </w:t>
            </w:r>
          </w:p>
        </w:tc>
      </w:tr>
      <w:tr w14:paraId="5FDA8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restart"/>
            <w:shd w:val="clear" w:color="auto" w:fill="auto"/>
            <w:noWrap/>
            <w:tcMar>
              <w:top w:w="15" w:type="dxa"/>
              <w:left w:w="15" w:type="dxa"/>
              <w:right w:w="15" w:type="dxa"/>
            </w:tcMar>
            <w:vAlign w:val="center"/>
          </w:tcPr>
          <w:p w14:paraId="1D5FF47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Ⅳ</w:t>
            </w:r>
          </w:p>
        </w:tc>
        <w:tc>
          <w:tcPr>
            <w:tcW w:w="2455" w:type="dxa"/>
            <w:shd w:val="clear" w:color="auto" w:fill="auto"/>
            <w:noWrap/>
            <w:tcMar>
              <w:top w:w="15" w:type="dxa"/>
              <w:left w:w="15" w:type="dxa"/>
              <w:right w:w="15" w:type="dxa"/>
            </w:tcMar>
            <w:vAlign w:val="center"/>
          </w:tcPr>
          <w:p w14:paraId="371E9D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小计</w:t>
            </w:r>
          </w:p>
        </w:tc>
        <w:tc>
          <w:tcPr>
            <w:tcW w:w="2566" w:type="dxa"/>
            <w:shd w:val="clear" w:color="auto" w:fill="auto"/>
            <w:noWrap/>
            <w:tcMar>
              <w:top w:w="15" w:type="dxa"/>
              <w:left w:w="15" w:type="dxa"/>
              <w:right w:w="15" w:type="dxa"/>
            </w:tcMar>
            <w:vAlign w:val="center"/>
          </w:tcPr>
          <w:p w14:paraId="384B783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177260.90 </w:t>
            </w:r>
          </w:p>
        </w:tc>
        <w:tc>
          <w:tcPr>
            <w:tcW w:w="2367" w:type="dxa"/>
            <w:shd w:val="clear" w:color="auto" w:fill="auto"/>
            <w:noWrap/>
            <w:tcMar>
              <w:top w:w="15" w:type="dxa"/>
              <w:left w:w="15" w:type="dxa"/>
              <w:right w:w="15" w:type="dxa"/>
            </w:tcMar>
            <w:vAlign w:val="center"/>
          </w:tcPr>
          <w:p w14:paraId="146D4AA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3.48 </w:t>
            </w:r>
          </w:p>
        </w:tc>
      </w:tr>
      <w:tr w14:paraId="50068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6492F5C7">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C1240D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2566" w:type="dxa"/>
            <w:shd w:val="clear" w:color="auto" w:fill="auto"/>
            <w:noWrap/>
            <w:tcMar>
              <w:top w:w="15" w:type="dxa"/>
              <w:left w:w="15" w:type="dxa"/>
              <w:right w:w="15" w:type="dxa"/>
            </w:tcMar>
            <w:vAlign w:val="center"/>
          </w:tcPr>
          <w:p w14:paraId="215969C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2929.37 </w:t>
            </w:r>
          </w:p>
        </w:tc>
        <w:tc>
          <w:tcPr>
            <w:tcW w:w="2367" w:type="dxa"/>
            <w:shd w:val="clear" w:color="auto" w:fill="auto"/>
            <w:noWrap/>
            <w:tcMar>
              <w:top w:w="15" w:type="dxa"/>
              <w:left w:w="15" w:type="dxa"/>
              <w:right w:w="15" w:type="dxa"/>
            </w:tcMar>
            <w:vAlign w:val="center"/>
          </w:tcPr>
          <w:p w14:paraId="4F5F3D8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1.65 </w:t>
            </w:r>
          </w:p>
        </w:tc>
      </w:tr>
      <w:tr w14:paraId="20084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7617B1AA">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EBB18E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2566" w:type="dxa"/>
            <w:shd w:val="clear" w:color="auto" w:fill="auto"/>
            <w:noWrap/>
            <w:tcMar>
              <w:top w:w="15" w:type="dxa"/>
              <w:left w:w="15" w:type="dxa"/>
              <w:right w:w="15" w:type="dxa"/>
            </w:tcMar>
            <w:vAlign w:val="center"/>
          </w:tcPr>
          <w:p w14:paraId="76F400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1463.40 </w:t>
            </w:r>
          </w:p>
        </w:tc>
        <w:tc>
          <w:tcPr>
            <w:tcW w:w="2367" w:type="dxa"/>
            <w:shd w:val="clear" w:color="auto" w:fill="auto"/>
            <w:noWrap/>
            <w:tcMar>
              <w:top w:w="15" w:type="dxa"/>
              <w:left w:w="15" w:type="dxa"/>
              <w:right w:w="15" w:type="dxa"/>
            </w:tcMar>
            <w:vAlign w:val="center"/>
          </w:tcPr>
          <w:p w14:paraId="1FBBD6A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0.83 </w:t>
            </w:r>
          </w:p>
        </w:tc>
      </w:tr>
      <w:tr w14:paraId="68EE6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CFE54C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0AF4DF8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2566" w:type="dxa"/>
            <w:shd w:val="clear" w:color="auto" w:fill="auto"/>
            <w:noWrap/>
            <w:tcMar>
              <w:top w:w="15" w:type="dxa"/>
              <w:left w:w="15" w:type="dxa"/>
              <w:right w:w="15" w:type="dxa"/>
            </w:tcMar>
            <w:vAlign w:val="center"/>
          </w:tcPr>
          <w:p w14:paraId="6358FFC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582.02 </w:t>
            </w:r>
          </w:p>
        </w:tc>
        <w:tc>
          <w:tcPr>
            <w:tcW w:w="2367" w:type="dxa"/>
            <w:shd w:val="clear" w:color="auto" w:fill="auto"/>
            <w:noWrap/>
            <w:tcMar>
              <w:top w:w="15" w:type="dxa"/>
              <w:left w:w="15" w:type="dxa"/>
              <w:right w:w="15" w:type="dxa"/>
            </w:tcMar>
            <w:vAlign w:val="center"/>
          </w:tcPr>
          <w:p w14:paraId="222A209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0.33 </w:t>
            </w:r>
          </w:p>
        </w:tc>
      </w:tr>
      <w:tr w14:paraId="1B0E4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39D767D2">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64EF70B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类乌齐县</w:t>
            </w:r>
          </w:p>
        </w:tc>
        <w:tc>
          <w:tcPr>
            <w:tcW w:w="2566" w:type="dxa"/>
            <w:shd w:val="clear" w:color="auto" w:fill="auto"/>
            <w:noWrap/>
            <w:tcMar>
              <w:top w:w="15" w:type="dxa"/>
              <w:left w:w="15" w:type="dxa"/>
              <w:right w:w="15" w:type="dxa"/>
            </w:tcMar>
            <w:vAlign w:val="center"/>
          </w:tcPr>
          <w:p w14:paraId="273495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633.17 </w:t>
            </w:r>
          </w:p>
        </w:tc>
        <w:tc>
          <w:tcPr>
            <w:tcW w:w="2367" w:type="dxa"/>
            <w:shd w:val="clear" w:color="auto" w:fill="auto"/>
            <w:noWrap/>
            <w:tcMar>
              <w:top w:w="15" w:type="dxa"/>
              <w:left w:w="15" w:type="dxa"/>
              <w:right w:w="15" w:type="dxa"/>
            </w:tcMar>
            <w:vAlign w:val="center"/>
          </w:tcPr>
          <w:p w14:paraId="4508B2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0.36 </w:t>
            </w:r>
          </w:p>
        </w:tc>
      </w:tr>
      <w:tr w14:paraId="776A5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133F5A2D">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B96AA4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2566" w:type="dxa"/>
            <w:shd w:val="clear" w:color="auto" w:fill="auto"/>
            <w:noWrap/>
            <w:tcMar>
              <w:top w:w="15" w:type="dxa"/>
              <w:left w:w="15" w:type="dxa"/>
              <w:right w:w="15" w:type="dxa"/>
            </w:tcMar>
            <w:vAlign w:val="center"/>
          </w:tcPr>
          <w:p w14:paraId="2AE294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19942.26 </w:t>
            </w:r>
          </w:p>
        </w:tc>
        <w:tc>
          <w:tcPr>
            <w:tcW w:w="2367" w:type="dxa"/>
            <w:shd w:val="clear" w:color="auto" w:fill="auto"/>
            <w:noWrap/>
            <w:tcMar>
              <w:top w:w="15" w:type="dxa"/>
              <w:left w:w="15" w:type="dxa"/>
              <w:right w:w="15" w:type="dxa"/>
            </w:tcMar>
            <w:vAlign w:val="center"/>
          </w:tcPr>
          <w:p w14:paraId="5E219AB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11.25 </w:t>
            </w:r>
          </w:p>
        </w:tc>
      </w:tr>
      <w:tr w14:paraId="5DF3F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593DF46">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738493D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2566" w:type="dxa"/>
            <w:shd w:val="clear" w:color="auto" w:fill="auto"/>
            <w:noWrap/>
            <w:tcMar>
              <w:top w:w="15" w:type="dxa"/>
              <w:left w:w="15" w:type="dxa"/>
              <w:right w:w="15" w:type="dxa"/>
            </w:tcMar>
            <w:vAlign w:val="center"/>
          </w:tcPr>
          <w:p w14:paraId="32DD72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2188.03 </w:t>
            </w:r>
          </w:p>
        </w:tc>
        <w:tc>
          <w:tcPr>
            <w:tcW w:w="2367" w:type="dxa"/>
            <w:shd w:val="clear" w:color="auto" w:fill="auto"/>
            <w:noWrap/>
            <w:tcMar>
              <w:top w:w="15" w:type="dxa"/>
              <w:left w:w="15" w:type="dxa"/>
              <w:right w:w="15" w:type="dxa"/>
            </w:tcMar>
            <w:vAlign w:val="center"/>
          </w:tcPr>
          <w:p w14:paraId="31336A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 </w:t>
            </w:r>
          </w:p>
        </w:tc>
      </w:tr>
      <w:tr w14:paraId="0F7AA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515F845F">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24A77F2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2566" w:type="dxa"/>
            <w:shd w:val="clear" w:color="auto" w:fill="auto"/>
            <w:noWrap/>
            <w:tcMar>
              <w:top w:w="15" w:type="dxa"/>
              <w:left w:w="15" w:type="dxa"/>
              <w:right w:w="15" w:type="dxa"/>
            </w:tcMar>
            <w:vAlign w:val="center"/>
          </w:tcPr>
          <w:p w14:paraId="170E38F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72363.80 </w:t>
            </w:r>
          </w:p>
        </w:tc>
        <w:tc>
          <w:tcPr>
            <w:tcW w:w="2367" w:type="dxa"/>
            <w:shd w:val="clear" w:color="auto" w:fill="auto"/>
            <w:noWrap/>
            <w:tcMar>
              <w:top w:w="15" w:type="dxa"/>
              <w:left w:w="15" w:type="dxa"/>
              <w:right w:w="15" w:type="dxa"/>
            </w:tcMar>
            <w:vAlign w:val="center"/>
          </w:tcPr>
          <w:p w14:paraId="39E39CA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40.82 </w:t>
            </w:r>
          </w:p>
        </w:tc>
      </w:tr>
      <w:tr w14:paraId="33BFD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FD84D0F">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52F928F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2566" w:type="dxa"/>
            <w:shd w:val="clear" w:color="auto" w:fill="auto"/>
            <w:noWrap/>
            <w:tcMar>
              <w:top w:w="15" w:type="dxa"/>
              <w:left w:w="15" w:type="dxa"/>
              <w:right w:w="15" w:type="dxa"/>
            </w:tcMar>
            <w:vAlign w:val="center"/>
          </w:tcPr>
          <w:p w14:paraId="7F3D6A2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24231.78 </w:t>
            </w:r>
          </w:p>
        </w:tc>
        <w:tc>
          <w:tcPr>
            <w:tcW w:w="2367" w:type="dxa"/>
            <w:shd w:val="clear" w:color="auto" w:fill="auto"/>
            <w:noWrap/>
            <w:tcMar>
              <w:top w:w="15" w:type="dxa"/>
              <w:left w:w="15" w:type="dxa"/>
              <w:right w:w="15" w:type="dxa"/>
            </w:tcMar>
            <w:vAlign w:val="center"/>
          </w:tcPr>
          <w:p w14:paraId="50A7E7E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13.67 </w:t>
            </w:r>
          </w:p>
        </w:tc>
      </w:tr>
      <w:tr w14:paraId="6142A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43173945">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39E76B3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2566" w:type="dxa"/>
            <w:shd w:val="clear" w:color="auto" w:fill="auto"/>
            <w:noWrap/>
            <w:tcMar>
              <w:top w:w="15" w:type="dxa"/>
              <w:left w:w="15" w:type="dxa"/>
              <w:right w:w="15" w:type="dxa"/>
            </w:tcMar>
            <w:vAlign w:val="center"/>
          </w:tcPr>
          <w:p w14:paraId="51B4F9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21914.63 </w:t>
            </w:r>
          </w:p>
        </w:tc>
        <w:tc>
          <w:tcPr>
            <w:tcW w:w="2367" w:type="dxa"/>
            <w:shd w:val="clear" w:color="auto" w:fill="auto"/>
            <w:noWrap/>
            <w:tcMar>
              <w:top w:w="15" w:type="dxa"/>
              <w:left w:w="15" w:type="dxa"/>
              <w:right w:w="15" w:type="dxa"/>
            </w:tcMar>
            <w:vAlign w:val="center"/>
          </w:tcPr>
          <w:p w14:paraId="227D5BC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12.36 </w:t>
            </w:r>
          </w:p>
        </w:tc>
      </w:tr>
      <w:tr w14:paraId="1E15E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9461ACF">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4DCDC7E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2566" w:type="dxa"/>
            <w:shd w:val="clear" w:color="auto" w:fill="auto"/>
            <w:noWrap/>
            <w:tcMar>
              <w:top w:w="15" w:type="dxa"/>
              <w:left w:w="15" w:type="dxa"/>
              <w:right w:w="15" w:type="dxa"/>
            </w:tcMar>
            <w:vAlign w:val="center"/>
          </w:tcPr>
          <w:p w14:paraId="18A0F6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13939.82 </w:t>
            </w:r>
          </w:p>
        </w:tc>
        <w:tc>
          <w:tcPr>
            <w:tcW w:w="2367" w:type="dxa"/>
            <w:shd w:val="clear" w:color="auto" w:fill="auto"/>
            <w:noWrap/>
            <w:tcMar>
              <w:top w:w="15" w:type="dxa"/>
              <w:left w:w="15" w:type="dxa"/>
              <w:right w:w="15" w:type="dxa"/>
            </w:tcMar>
            <w:vAlign w:val="center"/>
          </w:tcPr>
          <w:p w14:paraId="299D2D7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7.86 </w:t>
            </w:r>
          </w:p>
        </w:tc>
      </w:tr>
      <w:tr w14:paraId="409B0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593" w:type="dxa"/>
            <w:vMerge w:val="continue"/>
            <w:shd w:val="clear" w:color="auto" w:fill="auto"/>
            <w:noWrap/>
            <w:tcMar>
              <w:top w:w="15" w:type="dxa"/>
              <w:left w:w="15" w:type="dxa"/>
              <w:right w:w="15" w:type="dxa"/>
            </w:tcMar>
            <w:vAlign w:val="center"/>
          </w:tcPr>
          <w:p w14:paraId="2009C4D0">
            <w:pPr>
              <w:jc w:val="center"/>
              <w:rPr>
                <w:rFonts w:ascii="Times New Roman" w:hAnsi="Times New Roman" w:eastAsia="宋体" w:cs="Times New Roman"/>
                <w:szCs w:val="21"/>
              </w:rPr>
            </w:pPr>
          </w:p>
        </w:tc>
        <w:tc>
          <w:tcPr>
            <w:tcW w:w="2455" w:type="dxa"/>
            <w:shd w:val="clear" w:color="auto" w:fill="auto"/>
            <w:noWrap/>
            <w:tcMar>
              <w:top w:w="15" w:type="dxa"/>
              <w:left w:w="15" w:type="dxa"/>
              <w:right w:w="15" w:type="dxa"/>
            </w:tcMar>
            <w:vAlign w:val="center"/>
          </w:tcPr>
          <w:p w14:paraId="129BB3B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2566" w:type="dxa"/>
            <w:shd w:val="clear" w:color="auto" w:fill="auto"/>
            <w:noWrap/>
            <w:tcMar>
              <w:top w:w="15" w:type="dxa"/>
              <w:left w:w="15" w:type="dxa"/>
              <w:right w:w="15" w:type="dxa"/>
            </w:tcMar>
            <w:vAlign w:val="center"/>
          </w:tcPr>
          <w:p w14:paraId="4078CB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17072.62 </w:t>
            </w:r>
          </w:p>
        </w:tc>
        <w:tc>
          <w:tcPr>
            <w:tcW w:w="2367" w:type="dxa"/>
            <w:shd w:val="clear" w:color="auto" w:fill="auto"/>
            <w:noWrap/>
            <w:tcMar>
              <w:top w:w="15" w:type="dxa"/>
              <w:left w:w="15" w:type="dxa"/>
              <w:right w:w="15" w:type="dxa"/>
            </w:tcMar>
            <w:vAlign w:val="center"/>
          </w:tcPr>
          <w:p w14:paraId="400AE3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9.63 </w:t>
            </w:r>
          </w:p>
        </w:tc>
      </w:tr>
    </w:tbl>
    <w:p w14:paraId="5BB22AC4">
      <w:pPr>
        <w:spacing w:line="360" w:lineRule="auto"/>
        <w:jc w:val="center"/>
        <w:rPr>
          <w:rFonts w:ascii="Times New Roman" w:hAnsi="Times New Roman" w:eastAsia="黑体" w:cs="Times New Roman"/>
          <w:sz w:val="24"/>
          <w:szCs w:val="21"/>
        </w:rPr>
      </w:pPr>
    </w:p>
    <w:p w14:paraId="17C8BAB6">
      <w:pPr>
        <w:pStyle w:val="4"/>
        <w:numPr>
          <w:ilvl w:val="2"/>
          <w:numId w:val="2"/>
        </w:numPr>
        <w:spacing w:before="120" w:after="120" w:line="360" w:lineRule="auto"/>
        <w:rPr>
          <w:rStyle w:val="28"/>
          <w:color w:val="auto"/>
          <w:sz w:val="28"/>
          <w:szCs w:val="28"/>
          <w:u w:val="none"/>
        </w:rPr>
      </w:pPr>
      <w:bookmarkStart w:id="35" w:name="_Toc19508"/>
      <w:r>
        <w:rPr>
          <w:rStyle w:val="28"/>
          <w:rFonts w:hint="eastAsia"/>
          <w:color w:val="auto"/>
          <w:sz w:val="28"/>
          <w:szCs w:val="28"/>
          <w:u w:val="none"/>
        </w:rPr>
        <w:t>草原退化情况</w:t>
      </w:r>
      <w:bookmarkEnd w:id="35"/>
    </w:p>
    <w:p w14:paraId="180B887B">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退化面积分布情况</w:t>
      </w:r>
    </w:p>
    <w:p w14:paraId="3752B6F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（1）全市退化草原面积分布情况</w:t>
      </w:r>
    </w:p>
    <w:p w14:paraId="253A48A7">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林草综合监测数据可知，昌都市草原退化等级为I级（未退化）面积为2734043.05公顷，占评估草地范围面积比例为53.69%；退化等级为Ⅱ级（轻度退化）面积为1278978.64公顷，占评估草地范围面积比例为25.12%；退化等级为Ⅲ级（中度退化）面积为902166.51公顷，占评估草地范围面积比例为17.742%。等级为Ⅳ级（重度退化）面积为177260.90公顷，占评估草地范围面积比例为3.48%。</w:t>
      </w:r>
    </w:p>
    <w:p w14:paraId="32839F85">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表3-8昌都市草原退化等级面积统计</w:t>
      </w:r>
    </w:p>
    <w:tbl>
      <w:tblPr>
        <w:tblStyle w:val="25"/>
        <w:tblW w:w="91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3056"/>
        <w:gridCol w:w="3056"/>
      </w:tblGrid>
      <w:tr w14:paraId="0B087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204AE2C8">
            <w:pPr>
              <w:spacing w:line="360" w:lineRule="auto"/>
              <w:jc w:val="center"/>
              <w:rPr>
                <w:rFonts w:ascii="Times New Roman" w:hAnsi="Times New Roman" w:cs="Times New Roman"/>
                <w:szCs w:val="21"/>
              </w:rPr>
            </w:pPr>
            <w:r>
              <w:rPr>
                <w:rFonts w:ascii="Times New Roman" w:hAnsi="Times New Roman" w:cs="Times New Roman"/>
                <w:szCs w:val="21"/>
              </w:rPr>
              <w:t>退化等级</w:t>
            </w:r>
          </w:p>
        </w:tc>
        <w:tc>
          <w:tcPr>
            <w:tcW w:w="3056" w:type="dxa"/>
            <w:vAlign w:val="center"/>
          </w:tcPr>
          <w:p w14:paraId="0ACDEE21">
            <w:pPr>
              <w:spacing w:line="360" w:lineRule="auto"/>
              <w:jc w:val="center"/>
              <w:rPr>
                <w:rFonts w:ascii="Times New Roman" w:hAnsi="Times New Roman" w:cs="Times New Roman"/>
                <w:szCs w:val="21"/>
              </w:rPr>
            </w:pPr>
            <w:r>
              <w:rPr>
                <w:rFonts w:ascii="Times New Roman" w:hAnsi="Times New Roman" w:cs="Times New Roman"/>
                <w:szCs w:val="21"/>
              </w:rPr>
              <w:t>面积（公顷）</w:t>
            </w:r>
          </w:p>
        </w:tc>
        <w:tc>
          <w:tcPr>
            <w:tcW w:w="3056" w:type="dxa"/>
            <w:vAlign w:val="center"/>
          </w:tcPr>
          <w:p w14:paraId="74349681">
            <w:pPr>
              <w:spacing w:line="360" w:lineRule="auto"/>
              <w:jc w:val="center"/>
              <w:rPr>
                <w:rFonts w:ascii="Times New Roman" w:hAnsi="Times New Roman" w:cs="Times New Roman"/>
                <w:szCs w:val="21"/>
              </w:rPr>
            </w:pPr>
            <w:r>
              <w:rPr>
                <w:rFonts w:ascii="Times New Roman" w:hAnsi="Times New Roman" w:cs="Times New Roman"/>
                <w:szCs w:val="21"/>
              </w:rPr>
              <w:t>占比（%）</w:t>
            </w:r>
          </w:p>
        </w:tc>
      </w:tr>
      <w:tr w14:paraId="552B2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6979860C">
            <w:pPr>
              <w:spacing w:line="360" w:lineRule="auto"/>
              <w:jc w:val="center"/>
              <w:rPr>
                <w:rFonts w:ascii="Times New Roman" w:hAnsi="Times New Roman" w:cs="Times New Roman"/>
                <w:szCs w:val="21"/>
              </w:rPr>
            </w:pPr>
            <w:r>
              <w:rPr>
                <w:rFonts w:ascii="Times New Roman" w:hAnsi="Times New Roman" w:cs="Times New Roman"/>
                <w:szCs w:val="21"/>
              </w:rPr>
              <w:t>I</w:t>
            </w:r>
          </w:p>
        </w:tc>
        <w:tc>
          <w:tcPr>
            <w:tcW w:w="3056" w:type="dxa"/>
            <w:vAlign w:val="center"/>
          </w:tcPr>
          <w:p w14:paraId="6B4B1CC6">
            <w:pPr>
              <w:spacing w:line="360" w:lineRule="auto"/>
              <w:jc w:val="center"/>
              <w:rPr>
                <w:rFonts w:ascii="Times New Roman" w:hAnsi="Times New Roman" w:cs="Times New Roman"/>
                <w:szCs w:val="21"/>
              </w:rPr>
            </w:pPr>
            <w:r>
              <w:rPr>
                <w:rFonts w:ascii="Times New Roman" w:hAnsi="Times New Roman" w:cs="Times New Roman"/>
                <w:szCs w:val="21"/>
              </w:rPr>
              <w:t>2734043.05</w:t>
            </w:r>
          </w:p>
        </w:tc>
        <w:tc>
          <w:tcPr>
            <w:tcW w:w="3056" w:type="dxa"/>
            <w:vAlign w:val="center"/>
          </w:tcPr>
          <w:p w14:paraId="6B3A7005">
            <w:pPr>
              <w:spacing w:line="360" w:lineRule="auto"/>
              <w:jc w:val="center"/>
              <w:rPr>
                <w:rFonts w:ascii="Times New Roman" w:hAnsi="Times New Roman" w:cs="Times New Roman"/>
                <w:szCs w:val="21"/>
              </w:rPr>
            </w:pPr>
            <w:r>
              <w:rPr>
                <w:rFonts w:ascii="Times New Roman" w:hAnsi="Times New Roman" w:cs="Times New Roman"/>
                <w:szCs w:val="21"/>
              </w:rPr>
              <w:t>53.69</w:t>
            </w:r>
          </w:p>
        </w:tc>
      </w:tr>
      <w:tr w14:paraId="1CB6F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7EE3CC0B">
            <w:pPr>
              <w:spacing w:line="360" w:lineRule="auto"/>
              <w:jc w:val="center"/>
              <w:rPr>
                <w:rFonts w:ascii="Times New Roman" w:hAnsi="Times New Roman" w:cs="Times New Roman"/>
                <w:szCs w:val="21"/>
              </w:rPr>
            </w:pPr>
            <w:r>
              <w:rPr>
                <w:rFonts w:ascii="Times New Roman" w:hAnsi="Times New Roman" w:cs="Times New Roman"/>
                <w:szCs w:val="21"/>
              </w:rPr>
              <w:t>Ⅱ</w:t>
            </w:r>
          </w:p>
        </w:tc>
        <w:tc>
          <w:tcPr>
            <w:tcW w:w="3056" w:type="dxa"/>
            <w:vAlign w:val="center"/>
          </w:tcPr>
          <w:p w14:paraId="1B5812B1">
            <w:pPr>
              <w:spacing w:line="360" w:lineRule="auto"/>
              <w:jc w:val="center"/>
              <w:rPr>
                <w:rFonts w:ascii="Times New Roman" w:hAnsi="Times New Roman" w:cs="Times New Roman"/>
                <w:szCs w:val="21"/>
              </w:rPr>
            </w:pPr>
            <w:r>
              <w:rPr>
                <w:rFonts w:ascii="Times New Roman" w:hAnsi="Times New Roman" w:cs="Times New Roman"/>
                <w:szCs w:val="21"/>
              </w:rPr>
              <w:t>1278978.64</w:t>
            </w:r>
          </w:p>
        </w:tc>
        <w:tc>
          <w:tcPr>
            <w:tcW w:w="3056" w:type="dxa"/>
            <w:vAlign w:val="center"/>
          </w:tcPr>
          <w:p w14:paraId="6F7E3404">
            <w:pPr>
              <w:spacing w:line="360" w:lineRule="auto"/>
              <w:jc w:val="center"/>
              <w:rPr>
                <w:rFonts w:ascii="Times New Roman" w:hAnsi="Times New Roman" w:cs="Times New Roman"/>
                <w:szCs w:val="21"/>
              </w:rPr>
            </w:pPr>
            <w:r>
              <w:rPr>
                <w:rFonts w:ascii="Times New Roman" w:hAnsi="Times New Roman" w:cs="Times New Roman"/>
                <w:szCs w:val="21"/>
              </w:rPr>
              <w:t>25.12</w:t>
            </w:r>
          </w:p>
        </w:tc>
      </w:tr>
      <w:tr w14:paraId="4685A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055" w:type="dxa"/>
            <w:vAlign w:val="center"/>
          </w:tcPr>
          <w:p w14:paraId="6F74F305">
            <w:pPr>
              <w:spacing w:line="360" w:lineRule="auto"/>
              <w:jc w:val="center"/>
              <w:rPr>
                <w:rFonts w:ascii="Times New Roman" w:hAnsi="Times New Roman" w:cs="Times New Roman"/>
                <w:szCs w:val="21"/>
              </w:rPr>
            </w:pPr>
            <w:r>
              <w:rPr>
                <w:rFonts w:ascii="Times New Roman" w:hAnsi="Times New Roman" w:cs="Times New Roman"/>
                <w:szCs w:val="21"/>
              </w:rPr>
              <w:t>Ⅲ</w:t>
            </w:r>
          </w:p>
        </w:tc>
        <w:tc>
          <w:tcPr>
            <w:tcW w:w="3056" w:type="dxa"/>
            <w:vAlign w:val="center"/>
          </w:tcPr>
          <w:p w14:paraId="375A3BDE">
            <w:pPr>
              <w:spacing w:line="360" w:lineRule="auto"/>
              <w:jc w:val="center"/>
              <w:rPr>
                <w:rFonts w:ascii="Times New Roman" w:hAnsi="Times New Roman" w:cs="Times New Roman"/>
                <w:szCs w:val="21"/>
              </w:rPr>
            </w:pPr>
            <w:r>
              <w:rPr>
                <w:rFonts w:ascii="Times New Roman" w:hAnsi="Times New Roman" w:cs="Times New Roman"/>
                <w:szCs w:val="21"/>
              </w:rPr>
              <w:t>902166.51</w:t>
            </w:r>
          </w:p>
        </w:tc>
        <w:tc>
          <w:tcPr>
            <w:tcW w:w="3056" w:type="dxa"/>
            <w:vAlign w:val="center"/>
          </w:tcPr>
          <w:p w14:paraId="2273DF77">
            <w:pPr>
              <w:spacing w:line="360" w:lineRule="auto"/>
              <w:jc w:val="center"/>
              <w:rPr>
                <w:rFonts w:ascii="Times New Roman" w:hAnsi="Times New Roman" w:cs="Times New Roman"/>
                <w:szCs w:val="21"/>
              </w:rPr>
            </w:pPr>
            <w:r>
              <w:rPr>
                <w:rFonts w:ascii="Times New Roman" w:hAnsi="Times New Roman" w:cs="Times New Roman"/>
                <w:szCs w:val="21"/>
              </w:rPr>
              <w:t>17.72</w:t>
            </w:r>
          </w:p>
        </w:tc>
      </w:tr>
      <w:tr w14:paraId="46541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55" w:type="dxa"/>
            <w:vAlign w:val="center"/>
          </w:tcPr>
          <w:p w14:paraId="012D42FE">
            <w:pPr>
              <w:spacing w:line="360" w:lineRule="auto"/>
              <w:jc w:val="center"/>
              <w:rPr>
                <w:rFonts w:ascii="Times New Roman" w:hAnsi="Times New Roman" w:cs="Times New Roman"/>
                <w:szCs w:val="21"/>
              </w:rPr>
            </w:pPr>
            <w:r>
              <w:rPr>
                <w:rFonts w:ascii="Times New Roman" w:hAnsi="Times New Roman" w:cs="Times New Roman"/>
                <w:szCs w:val="21"/>
              </w:rPr>
              <w:t>Ⅳ</w:t>
            </w:r>
          </w:p>
        </w:tc>
        <w:tc>
          <w:tcPr>
            <w:tcW w:w="3056" w:type="dxa"/>
            <w:vAlign w:val="center"/>
          </w:tcPr>
          <w:p w14:paraId="5A242914">
            <w:pPr>
              <w:spacing w:line="360" w:lineRule="auto"/>
              <w:jc w:val="center"/>
              <w:rPr>
                <w:rFonts w:ascii="Times New Roman" w:hAnsi="Times New Roman" w:cs="Times New Roman"/>
                <w:szCs w:val="21"/>
              </w:rPr>
            </w:pPr>
            <w:r>
              <w:rPr>
                <w:rFonts w:ascii="Times New Roman" w:hAnsi="Times New Roman" w:cs="Times New Roman"/>
                <w:szCs w:val="21"/>
              </w:rPr>
              <w:t>177260.90</w:t>
            </w:r>
          </w:p>
        </w:tc>
        <w:tc>
          <w:tcPr>
            <w:tcW w:w="3056" w:type="dxa"/>
            <w:vAlign w:val="center"/>
          </w:tcPr>
          <w:p w14:paraId="6B8F0181">
            <w:pPr>
              <w:spacing w:line="360" w:lineRule="auto"/>
              <w:jc w:val="center"/>
              <w:rPr>
                <w:rFonts w:ascii="Times New Roman" w:hAnsi="Times New Roman" w:cs="Times New Roman"/>
                <w:szCs w:val="21"/>
              </w:rPr>
            </w:pPr>
            <w:r>
              <w:rPr>
                <w:rFonts w:ascii="Times New Roman" w:hAnsi="Times New Roman" w:cs="Times New Roman"/>
                <w:szCs w:val="21"/>
              </w:rPr>
              <w:t>3.48</w:t>
            </w:r>
          </w:p>
        </w:tc>
      </w:tr>
      <w:tr w14:paraId="476FB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55" w:type="dxa"/>
            <w:vAlign w:val="center"/>
          </w:tcPr>
          <w:p w14:paraId="0234C7A5">
            <w:pPr>
              <w:spacing w:line="360" w:lineRule="auto"/>
              <w:jc w:val="center"/>
              <w:rPr>
                <w:rFonts w:ascii="Times New Roman" w:hAnsi="Times New Roman" w:cs="Times New Roman"/>
                <w:szCs w:val="21"/>
              </w:rPr>
            </w:pPr>
            <w:r>
              <w:rPr>
                <w:rFonts w:ascii="Times New Roman" w:hAnsi="Times New Roman" w:cs="Times New Roman"/>
                <w:szCs w:val="21"/>
              </w:rPr>
              <w:t>总计</w:t>
            </w:r>
          </w:p>
        </w:tc>
        <w:tc>
          <w:tcPr>
            <w:tcW w:w="3056" w:type="dxa"/>
            <w:vAlign w:val="center"/>
          </w:tcPr>
          <w:p w14:paraId="6EE8D298">
            <w:pPr>
              <w:spacing w:line="360" w:lineRule="auto"/>
              <w:jc w:val="center"/>
              <w:rPr>
                <w:rFonts w:ascii="Times New Roman" w:hAnsi="Times New Roman" w:cs="Times New Roman"/>
                <w:szCs w:val="21"/>
              </w:rPr>
            </w:pPr>
            <w:r>
              <w:rPr>
                <w:rFonts w:ascii="Times New Roman" w:hAnsi="Times New Roman" w:cs="Times New Roman"/>
                <w:szCs w:val="21"/>
              </w:rPr>
              <w:t>5092449.10</w:t>
            </w:r>
          </w:p>
        </w:tc>
        <w:tc>
          <w:tcPr>
            <w:tcW w:w="3056" w:type="dxa"/>
            <w:vAlign w:val="center"/>
          </w:tcPr>
          <w:p w14:paraId="719C4BB9">
            <w:pPr>
              <w:spacing w:line="360" w:lineRule="auto"/>
              <w:jc w:val="center"/>
              <w:rPr>
                <w:rFonts w:ascii="Times New Roman" w:hAnsi="Times New Roman" w:cs="Times New Roman"/>
                <w:szCs w:val="21"/>
              </w:rPr>
            </w:pPr>
            <w:r>
              <w:rPr>
                <w:rFonts w:ascii="Times New Roman" w:hAnsi="Times New Roman" w:cs="Times New Roman"/>
                <w:szCs w:val="21"/>
              </w:rPr>
              <w:t>100.00</w:t>
            </w:r>
          </w:p>
        </w:tc>
      </w:tr>
    </w:tbl>
    <w:p w14:paraId="6066438D">
      <w:pPr>
        <w:rPr>
          <w:rFonts w:ascii="Times New Roman" w:hAnsi="Times New Roman" w:cs="Times New Roman"/>
          <w:sz w:val="24"/>
          <w:szCs w:val="24"/>
        </w:rPr>
      </w:pPr>
      <w:r>
        <w:rPr>
          <w:rFonts w:ascii="Times New Roman" w:hAnsi="Times New Roman" w:cs="Times New Roman"/>
          <w:sz w:val="24"/>
          <w:szCs w:val="24"/>
        </w:rPr>
        <w:br w:type="page"/>
      </w:r>
    </w:p>
    <w:p w14:paraId="2AFCD3F6">
      <w:pPr>
        <w:spacing w:line="360" w:lineRule="auto"/>
        <w:rPr>
          <w:rFonts w:ascii="Times New Roman" w:hAnsi="Times New Roman" w:cs="Times New Roman"/>
          <w:sz w:val="24"/>
          <w:szCs w:val="24"/>
        </w:rPr>
      </w:pPr>
      <w:r>
        <w:drawing>
          <wp:inline distT="0" distB="0" distL="114300" distR="114300">
            <wp:extent cx="5680075" cy="3846195"/>
            <wp:effectExtent l="0" t="0" r="15875" b="190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9" cstate="print"/>
                    <a:stretch>
                      <a:fillRect/>
                    </a:stretch>
                  </pic:blipFill>
                  <pic:spPr>
                    <a:xfrm>
                      <a:off x="0" y="0"/>
                      <a:ext cx="5680075" cy="3846195"/>
                    </a:xfrm>
                    <a:prstGeom prst="rect">
                      <a:avLst/>
                    </a:prstGeom>
                    <a:noFill/>
                    <a:ln>
                      <a:noFill/>
                    </a:ln>
                  </pic:spPr>
                </pic:pic>
              </a:graphicData>
            </a:graphic>
          </wp:inline>
        </w:drawing>
      </w:r>
    </w:p>
    <w:p w14:paraId="2D985C78">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图3-6昌都市草原退化等级分布图</w:t>
      </w:r>
    </w:p>
    <w:p w14:paraId="07793D0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（2）分县（区）退化草原面积分布情况</w:t>
      </w:r>
    </w:p>
    <w:p w14:paraId="37289BE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I级（未退化）占比超过10%的县有四个，分别为江达县、丁青县、察雅县、卡若区，面积和占比依次为564860.34公顷、363515.74公顷、314925.24公顷、274126.84公顷、20.66%、13.30%、11.52%、10.03%。面积最小的县为洛隆县，面积99898.21公顷，占全市草原退化等级I级的比例为3.65%。</w:t>
      </w:r>
    </w:p>
    <w:p w14:paraId="366B93F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Ⅱ级（轻度退化）占比超过10%的县有四个，分别为丁青县、左贡县、江达县、边坝县。面积和占比依次为273162.18公顷、231694.03公顷、159312.98公顷、133637.38公顷、21.36%、18.12%、12.46%、10.45%。面积最小的为卡若区，面积40442.28公顷，占全市草原退化等级Ⅱ级的比例为3.16%。</w:t>
      </w:r>
    </w:p>
    <w:p w14:paraId="64079526">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III级（中度退化）占比超过10%的县有四个，为八宿县、丁青县、边坝县、洛隆县，面积和占比依次为204927.17公顷、204819.67公顷、135566.15公顷、91924.83公顷、22.72%、22.70%、1.03%、10.19%。面积最小的为贡觉县，面积16436.97公顷，占全市草原退化等级III级的比例为1.82%。</w:t>
      </w:r>
    </w:p>
    <w:p w14:paraId="0DFAC024">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草原退化等级为IV级（重度退化）占比超过10%的县有四个，为八宿县、左贡县、芒康县、丁青县，面积和占比依次为72363.80公顷、24231.78公顷、21914.63公顷、19942.26公顷、40.82%、13.67%、12.36%、11.25%。面积最小的为贡觉县，面积582.02公顷，占全市草原健康等级IV级的比例为0.33%。</w:t>
      </w:r>
    </w:p>
    <w:p w14:paraId="74F8AB8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表3-9昌都市不同退化等级草原面积统计表</w:t>
      </w:r>
    </w:p>
    <w:tbl>
      <w:tblPr>
        <w:tblStyle w:val="24"/>
        <w:tblW w:w="8981" w:type="dxa"/>
        <w:tblInd w:w="0" w:type="dxa"/>
        <w:tblLayout w:type="fixed"/>
        <w:tblCellMar>
          <w:top w:w="0" w:type="dxa"/>
          <w:left w:w="0" w:type="dxa"/>
          <w:bottom w:w="0" w:type="dxa"/>
          <w:right w:w="0" w:type="dxa"/>
        </w:tblCellMar>
      </w:tblPr>
      <w:tblGrid>
        <w:gridCol w:w="1463"/>
        <w:gridCol w:w="2906"/>
        <w:gridCol w:w="2153"/>
        <w:gridCol w:w="2459"/>
      </w:tblGrid>
      <w:tr w14:paraId="55461E8A">
        <w:tblPrEx>
          <w:tblCellMar>
            <w:top w:w="0" w:type="dxa"/>
            <w:left w:w="0" w:type="dxa"/>
            <w:bottom w:w="0" w:type="dxa"/>
            <w:right w:w="0" w:type="dxa"/>
          </w:tblCellMar>
        </w:tblPrEx>
        <w:trPr>
          <w:trHeight w:val="300" w:hRule="atLeast"/>
        </w:trPr>
        <w:tc>
          <w:tcPr>
            <w:tcW w:w="14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DCCFA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退化等级</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EDDA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县（区）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F56F5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面积（公顷）</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0A5C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占比（%）</w:t>
            </w:r>
          </w:p>
        </w:tc>
      </w:tr>
      <w:tr w14:paraId="363E93D1">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2E8E6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Ⅰ</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DC900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AD694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2734043.05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E9072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53.69 </w:t>
            </w:r>
          </w:p>
        </w:tc>
      </w:tr>
      <w:tr w14:paraId="6A82A88E">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5D7E61">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4AB3A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EF70C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274126.84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49BCD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10.03 </w:t>
            </w:r>
          </w:p>
        </w:tc>
      </w:tr>
      <w:tr w14:paraId="60889C7A">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CBD2A8">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40F74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39883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564860.34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75DAD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20.66 </w:t>
            </w:r>
          </w:p>
        </w:tc>
      </w:tr>
      <w:tr w14:paraId="2698B733">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890C8B">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769A0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4E9B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230080.98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31F0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8.42 </w:t>
            </w:r>
          </w:p>
        </w:tc>
      </w:tr>
      <w:tr w14:paraId="558BF6BD">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371C4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D3DFA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类乌齐具</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4893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171183.97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C26F8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6.26 </w:t>
            </w:r>
          </w:p>
        </w:tc>
      </w:tr>
      <w:tr w14:paraId="15807ABC">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F887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9CE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F1C2D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363515.74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82BD6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13.30 </w:t>
            </w:r>
          </w:p>
        </w:tc>
      </w:tr>
      <w:tr w14:paraId="748C5284">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45BF94">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58B32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D61D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314925.24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9B873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11.52 </w:t>
            </w:r>
          </w:p>
        </w:tc>
      </w:tr>
      <w:tr w14:paraId="206CC8B4">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A7539">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9B44D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07F9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243218.48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AF49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8.90 </w:t>
            </w:r>
          </w:p>
        </w:tc>
      </w:tr>
      <w:tr w14:paraId="6B6B93EC">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41B78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69D5C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1967A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160950.15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9F27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5.89 </w:t>
            </w:r>
          </w:p>
        </w:tc>
      </w:tr>
      <w:tr w14:paraId="1F08548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9BD54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FFA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313A3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178400.23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25AA2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6.53 </w:t>
            </w:r>
          </w:p>
        </w:tc>
      </w:tr>
      <w:tr w14:paraId="18EE660B">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84C7FC">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76AA6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946AF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99898.21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6AFC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3.65 </w:t>
            </w:r>
          </w:p>
        </w:tc>
      </w:tr>
      <w:tr w14:paraId="4E51BD0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DEB7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7920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6856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132882.87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472E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4.86 </w:t>
            </w:r>
          </w:p>
        </w:tc>
      </w:tr>
      <w:tr w14:paraId="1407754B">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E3126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Ⅱ</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39D8F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ECBC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1278978.64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FFCB8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25.12 </w:t>
            </w:r>
          </w:p>
        </w:tc>
      </w:tr>
      <w:tr w14:paraId="4DBBBB2C">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0C349A">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2137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54A7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40442.28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0FE4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3.16 </w:t>
            </w:r>
          </w:p>
        </w:tc>
      </w:tr>
      <w:tr w14:paraId="0D376609">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F532B9">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7163B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B17DA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159312.98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6A1E7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12.46 </w:t>
            </w:r>
          </w:p>
        </w:tc>
      </w:tr>
      <w:tr w14:paraId="36BBC17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6881B">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A1AFE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23104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51988.42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A5EE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4.06 </w:t>
            </w:r>
          </w:p>
        </w:tc>
      </w:tr>
      <w:tr w14:paraId="2BADDC7B">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9604B3">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697E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844B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98533.09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7754E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7.70 </w:t>
            </w:r>
          </w:p>
        </w:tc>
      </w:tr>
      <w:tr w14:paraId="40412621">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F972B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E296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D4E24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273162.18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D35D8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21.36 </w:t>
            </w:r>
          </w:p>
        </w:tc>
      </w:tr>
      <w:tr w14:paraId="7AB51388">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0917AE">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F27A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5EE65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72538.42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30A1D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5.67 </w:t>
            </w:r>
          </w:p>
        </w:tc>
      </w:tr>
      <w:tr w14:paraId="6E319730">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00D231">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21F54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211C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118315.39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3CDF8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9.25 </w:t>
            </w:r>
          </w:p>
        </w:tc>
      </w:tr>
      <w:tr w14:paraId="30743E37">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063707">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D134A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605C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231694.03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BED05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18.12 </w:t>
            </w:r>
          </w:p>
        </w:tc>
      </w:tr>
      <w:tr w14:paraId="70B314CB">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B158D3">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81D4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FBDB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50271.05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ABF9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3.93 </w:t>
            </w:r>
          </w:p>
        </w:tc>
      </w:tr>
      <w:tr w14:paraId="28123C39">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B6837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758B9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E0D8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49083.42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F7CC5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3.84 </w:t>
            </w:r>
          </w:p>
        </w:tc>
      </w:tr>
      <w:tr w14:paraId="6494A3AD">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B7C50">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3BF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D3807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133637.38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B804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10.45 </w:t>
            </w:r>
          </w:p>
        </w:tc>
      </w:tr>
      <w:tr w14:paraId="550D1DB6">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0443C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Ⅲ</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E154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B814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902166.51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C97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 </w:t>
            </w:r>
          </w:p>
        </w:tc>
      </w:tr>
      <w:tr w14:paraId="190C3C6A">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D690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F3AFA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D243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23114.36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D403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2.56 </w:t>
            </w:r>
          </w:p>
        </w:tc>
      </w:tr>
      <w:tr w14:paraId="13D8E40F">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E8266">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83706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E477C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24060.89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E3066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2.67 </w:t>
            </w:r>
          </w:p>
        </w:tc>
      </w:tr>
      <w:tr w14:paraId="3FFDADF7">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34810">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4E0E1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C06C5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16436.97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F502C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1.82 </w:t>
            </w:r>
          </w:p>
        </w:tc>
      </w:tr>
      <w:tr w14:paraId="5F85A069">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7A6FA7">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F2303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F231B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42001.47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E95A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4.66 </w:t>
            </w:r>
          </w:p>
        </w:tc>
      </w:tr>
      <w:tr w14:paraId="4C56C942">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71B1A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FBF1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833F2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204927.17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D7199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22.72 </w:t>
            </w:r>
          </w:p>
        </w:tc>
      </w:tr>
      <w:tr w14:paraId="302BF11F">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884E3C">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C646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蔡雅县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8D1AD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48534.98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929E1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5.38 </w:t>
            </w:r>
          </w:p>
        </w:tc>
      </w:tr>
      <w:tr w14:paraId="4B1B9E78">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869482">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113D3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43307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204819.67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64D42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22.70 </w:t>
            </w:r>
          </w:p>
        </w:tc>
      </w:tr>
      <w:tr w14:paraId="6F5BF92A">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C66AC4">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917E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F6241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89399.00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D95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9.91 </w:t>
            </w:r>
          </w:p>
        </w:tc>
      </w:tr>
      <w:tr w14:paraId="0DF9F7FC">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48FB4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F38BF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7346C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21381.02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8C5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2.37 </w:t>
            </w:r>
          </w:p>
        </w:tc>
      </w:tr>
      <w:tr w14:paraId="11BD054A">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2F865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8AD7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25A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91924.83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6437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10.19 </w:t>
            </w:r>
          </w:p>
        </w:tc>
      </w:tr>
      <w:tr w14:paraId="38C07E23">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B7E5B8">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D2E38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E447A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135566.15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4C3BC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15.03 </w:t>
            </w:r>
          </w:p>
        </w:tc>
      </w:tr>
      <w:tr w14:paraId="69B5D131">
        <w:tblPrEx>
          <w:tblCellMar>
            <w:top w:w="0" w:type="dxa"/>
            <w:left w:w="0" w:type="dxa"/>
            <w:bottom w:w="0" w:type="dxa"/>
            <w:right w:w="0" w:type="dxa"/>
          </w:tblCellMar>
        </w:tblPrEx>
        <w:trPr>
          <w:trHeight w:val="315" w:hRule="atLeast"/>
        </w:trPr>
        <w:tc>
          <w:tcPr>
            <w:tcW w:w="1463"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E06EA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Ⅳ</w:t>
            </w: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CC2ED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FD163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177260.90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CA82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3.48 </w:t>
            </w:r>
          </w:p>
        </w:tc>
      </w:tr>
      <w:tr w14:paraId="20E9B7EE">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5844F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A1CAB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D355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2929.37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CDBD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1.65 </w:t>
            </w:r>
          </w:p>
        </w:tc>
      </w:tr>
      <w:tr w14:paraId="08B5DBB6">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85B8A">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1989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ABAC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1463.40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6612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0.83 </w:t>
            </w:r>
          </w:p>
        </w:tc>
      </w:tr>
      <w:tr w14:paraId="17266A84">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7034D">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D804D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8584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582.02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0246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0.33 </w:t>
            </w:r>
          </w:p>
        </w:tc>
      </w:tr>
      <w:tr w14:paraId="3D08A74B">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B18B4C">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E5E1E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4EAC5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633.17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EC20C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0.36 </w:t>
            </w:r>
          </w:p>
        </w:tc>
      </w:tr>
      <w:tr w14:paraId="675F3BFC">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A2C0E">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C3165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1FC59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19942.26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0D58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11.25 </w:t>
            </w:r>
          </w:p>
        </w:tc>
      </w:tr>
      <w:tr w14:paraId="3629D747">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25F117">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44D88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9154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2188.03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CD9D9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 </w:t>
            </w:r>
          </w:p>
        </w:tc>
      </w:tr>
      <w:tr w14:paraId="3512A8B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7BCFB">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DCA9F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AFFB7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72363.80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FCA89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40.82 </w:t>
            </w:r>
          </w:p>
        </w:tc>
      </w:tr>
      <w:tr w14:paraId="3893B52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01C5CF">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F97D6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BACE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24231.78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5210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13.67 </w:t>
            </w:r>
          </w:p>
        </w:tc>
      </w:tr>
      <w:tr w14:paraId="39A5F50F">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81FE58">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244AB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7237B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21914.63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4333E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12.36 </w:t>
            </w:r>
          </w:p>
        </w:tc>
      </w:tr>
      <w:tr w14:paraId="00D9CC45">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893F09">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E820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1D393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13939.82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BB1F7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7.86 </w:t>
            </w:r>
          </w:p>
        </w:tc>
      </w:tr>
      <w:tr w14:paraId="7733522C">
        <w:tblPrEx>
          <w:tblCellMar>
            <w:top w:w="0" w:type="dxa"/>
            <w:left w:w="0" w:type="dxa"/>
            <w:bottom w:w="0" w:type="dxa"/>
            <w:right w:w="0" w:type="dxa"/>
          </w:tblCellMar>
        </w:tblPrEx>
        <w:trPr>
          <w:trHeight w:val="315" w:hRule="atLeast"/>
        </w:trPr>
        <w:tc>
          <w:tcPr>
            <w:tcW w:w="1463"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846373">
            <w:pPr>
              <w:jc w:val="center"/>
              <w:rPr>
                <w:rFonts w:ascii="Times New Roman" w:hAnsi="Times New Roman" w:eastAsia="宋体" w:cs="Times New Roman"/>
                <w:sz w:val="22"/>
              </w:rPr>
            </w:pPr>
          </w:p>
        </w:tc>
        <w:tc>
          <w:tcPr>
            <w:tcW w:w="290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A0C5A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09A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17072.62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BDD0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9.63 </w:t>
            </w:r>
          </w:p>
        </w:tc>
      </w:tr>
      <w:tr w14:paraId="3FFB73F5">
        <w:tblPrEx>
          <w:tblCellMar>
            <w:top w:w="0" w:type="dxa"/>
            <w:left w:w="0" w:type="dxa"/>
            <w:bottom w:w="0" w:type="dxa"/>
            <w:right w:w="0" w:type="dxa"/>
          </w:tblCellMar>
        </w:tblPrEx>
        <w:trPr>
          <w:trHeight w:val="315" w:hRule="atLeast"/>
        </w:trPr>
        <w:tc>
          <w:tcPr>
            <w:tcW w:w="4369"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C7D9B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总计</w:t>
            </w:r>
          </w:p>
        </w:tc>
        <w:tc>
          <w:tcPr>
            <w:tcW w:w="215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0BF9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5092449.10 </w:t>
            </w:r>
          </w:p>
        </w:tc>
        <w:tc>
          <w:tcPr>
            <w:tcW w:w="24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9680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100.00 </w:t>
            </w:r>
          </w:p>
        </w:tc>
      </w:tr>
    </w:tbl>
    <w:p w14:paraId="7EE29341">
      <w:pPr>
        <w:spacing w:line="360" w:lineRule="auto"/>
        <w:jc w:val="center"/>
        <w:rPr>
          <w:rFonts w:ascii="Times New Roman" w:hAnsi="Times New Roman" w:eastAsia="黑体" w:cs="Times New Roman"/>
          <w:sz w:val="24"/>
          <w:szCs w:val="21"/>
        </w:rPr>
      </w:pPr>
    </w:p>
    <w:p w14:paraId="238B5CA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退化类型分布情况</w:t>
      </w:r>
    </w:p>
    <w:p w14:paraId="592C4394">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（1）全市退化草原类型分布情况</w:t>
      </w:r>
    </w:p>
    <w:p w14:paraId="3EF61B02">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全市草原退</w:t>
      </w:r>
      <w:r>
        <w:rPr>
          <w:rFonts w:ascii="Times New Roman" w:hAnsi="Times New Roman" w:cs="Times New Roman"/>
          <w:sz w:val="24"/>
          <w:szCs w:val="24"/>
        </w:rPr>
        <w:t>化类型主要有毒害草型退化、沙化型退化、其他退化3 类。其中其他退化面积最大，为2168440.89公顷，占全市草原面积比例为42.58%；其次是毒害草型退化，面积188162.03公顷，占全市草原面积比例为3.69%；沙化型退化面积最小，为1803.13公顷，占比0.04%。</w:t>
      </w:r>
    </w:p>
    <w:p w14:paraId="5F81A3D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其他退化”是一个综合性的类别，通常指那些不具备典型沙化或毒害草特征，但草原生态系统结构和功能已明显恶化的类型。主要包括鼠虫害型退化、黑土滩型退化、水蚀/冻融侵蚀型退化、超载放牧型退化及其他特殊类型退化等。</w:t>
      </w:r>
    </w:p>
    <w:p w14:paraId="268CD868">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表3-10昌都市评估范围内草原退化类型面积统计</w:t>
      </w:r>
    </w:p>
    <w:tbl>
      <w:tblPr>
        <w:tblStyle w:val="24"/>
        <w:tblW w:w="89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997"/>
        <w:gridCol w:w="3075"/>
        <w:gridCol w:w="2909"/>
      </w:tblGrid>
      <w:tr w14:paraId="7B8E9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997" w:type="dxa"/>
            <w:shd w:val="clear" w:color="auto" w:fill="auto"/>
            <w:tcMar>
              <w:top w:w="15" w:type="dxa"/>
              <w:left w:w="15" w:type="dxa"/>
              <w:right w:w="15" w:type="dxa"/>
            </w:tcMar>
            <w:vAlign w:val="center"/>
          </w:tcPr>
          <w:p w14:paraId="425DFC3B">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退化等级</w:t>
            </w:r>
          </w:p>
        </w:tc>
        <w:tc>
          <w:tcPr>
            <w:tcW w:w="3075" w:type="dxa"/>
            <w:shd w:val="clear" w:color="auto" w:fill="auto"/>
            <w:tcMar>
              <w:top w:w="15" w:type="dxa"/>
              <w:left w:w="15" w:type="dxa"/>
              <w:right w:w="15" w:type="dxa"/>
            </w:tcMar>
            <w:vAlign w:val="center"/>
          </w:tcPr>
          <w:p w14:paraId="2D3F4A33">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面积（公顷）</w:t>
            </w:r>
          </w:p>
        </w:tc>
        <w:tc>
          <w:tcPr>
            <w:tcW w:w="2909" w:type="dxa"/>
            <w:shd w:val="clear" w:color="auto" w:fill="auto"/>
            <w:tcMar>
              <w:top w:w="15" w:type="dxa"/>
              <w:left w:w="15" w:type="dxa"/>
              <w:right w:w="15" w:type="dxa"/>
            </w:tcMar>
            <w:vAlign w:val="center"/>
          </w:tcPr>
          <w:p w14:paraId="2C543F47">
            <w:pPr>
              <w:widowControl/>
              <w:spacing w:line="360" w:lineRule="auto"/>
              <w:jc w:val="center"/>
              <w:textAlignment w:val="top"/>
              <w:rPr>
                <w:rFonts w:ascii="Times New Roman" w:hAnsi="Times New Roman" w:eastAsia="宋体" w:cs="Times New Roman"/>
                <w:szCs w:val="21"/>
              </w:rPr>
            </w:pPr>
            <w:r>
              <w:rPr>
                <w:rFonts w:ascii="Times New Roman" w:hAnsi="Times New Roman" w:eastAsia="宋体" w:cs="Times New Roman"/>
                <w:kern w:val="0"/>
                <w:szCs w:val="21"/>
              </w:rPr>
              <w:t>占比（%）</w:t>
            </w:r>
          </w:p>
        </w:tc>
      </w:tr>
      <w:tr w14:paraId="78E71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997" w:type="dxa"/>
            <w:shd w:val="clear" w:color="auto" w:fill="auto"/>
            <w:tcMar>
              <w:top w:w="15" w:type="dxa"/>
              <w:left w:w="15" w:type="dxa"/>
              <w:right w:w="15" w:type="dxa"/>
            </w:tcMar>
            <w:vAlign w:val="center"/>
          </w:tcPr>
          <w:p w14:paraId="66184242">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未退化</w:t>
            </w:r>
          </w:p>
        </w:tc>
        <w:tc>
          <w:tcPr>
            <w:tcW w:w="3075" w:type="dxa"/>
            <w:shd w:val="clear" w:color="auto" w:fill="auto"/>
            <w:tcMar>
              <w:top w:w="15" w:type="dxa"/>
              <w:left w:w="15" w:type="dxa"/>
              <w:right w:w="15" w:type="dxa"/>
            </w:tcMar>
            <w:vAlign w:val="center"/>
          </w:tcPr>
          <w:p w14:paraId="305DAFA5">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2734043.05</w:t>
            </w:r>
          </w:p>
        </w:tc>
        <w:tc>
          <w:tcPr>
            <w:tcW w:w="2909" w:type="dxa"/>
            <w:shd w:val="clear" w:color="auto" w:fill="auto"/>
            <w:tcMar>
              <w:top w:w="15" w:type="dxa"/>
              <w:left w:w="15" w:type="dxa"/>
              <w:right w:w="15" w:type="dxa"/>
            </w:tcMar>
            <w:vAlign w:val="center"/>
          </w:tcPr>
          <w:p w14:paraId="59AB682B">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53.69</w:t>
            </w:r>
          </w:p>
        </w:tc>
      </w:tr>
      <w:tr w14:paraId="64FF8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2997" w:type="dxa"/>
            <w:shd w:val="clear" w:color="auto" w:fill="auto"/>
            <w:tcMar>
              <w:top w:w="15" w:type="dxa"/>
              <w:left w:w="15" w:type="dxa"/>
              <w:right w:w="15" w:type="dxa"/>
            </w:tcMar>
            <w:vAlign w:val="center"/>
          </w:tcPr>
          <w:p w14:paraId="51ECEE39">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毒害草型退化</w:t>
            </w:r>
          </w:p>
        </w:tc>
        <w:tc>
          <w:tcPr>
            <w:tcW w:w="3075" w:type="dxa"/>
            <w:shd w:val="clear" w:color="auto" w:fill="auto"/>
            <w:tcMar>
              <w:top w:w="15" w:type="dxa"/>
              <w:left w:w="15" w:type="dxa"/>
              <w:right w:w="15" w:type="dxa"/>
            </w:tcMar>
            <w:vAlign w:val="center"/>
          </w:tcPr>
          <w:p w14:paraId="47D91297">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188162.03</w:t>
            </w:r>
          </w:p>
        </w:tc>
        <w:tc>
          <w:tcPr>
            <w:tcW w:w="2909" w:type="dxa"/>
            <w:shd w:val="clear" w:color="auto" w:fill="auto"/>
            <w:tcMar>
              <w:top w:w="15" w:type="dxa"/>
              <w:left w:w="15" w:type="dxa"/>
              <w:right w:w="15" w:type="dxa"/>
            </w:tcMar>
            <w:vAlign w:val="center"/>
          </w:tcPr>
          <w:p w14:paraId="14CF534C">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3.69</w:t>
            </w:r>
          </w:p>
        </w:tc>
      </w:tr>
      <w:tr w14:paraId="42D14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0" w:hRule="atLeast"/>
        </w:trPr>
        <w:tc>
          <w:tcPr>
            <w:tcW w:w="2997" w:type="dxa"/>
            <w:shd w:val="clear" w:color="auto" w:fill="auto"/>
            <w:tcMar>
              <w:top w:w="15" w:type="dxa"/>
              <w:left w:w="15" w:type="dxa"/>
              <w:right w:w="15" w:type="dxa"/>
            </w:tcMar>
            <w:vAlign w:val="center"/>
          </w:tcPr>
          <w:p w14:paraId="5B9EAD0D">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沙化型退化</w:t>
            </w:r>
          </w:p>
        </w:tc>
        <w:tc>
          <w:tcPr>
            <w:tcW w:w="3075" w:type="dxa"/>
            <w:shd w:val="clear" w:color="auto" w:fill="auto"/>
            <w:tcMar>
              <w:top w:w="15" w:type="dxa"/>
              <w:left w:w="15" w:type="dxa"/>
              <w:right w:w="15" w:type="dxa"/>
            </w:tcMar>
            <w:vAlign w:val="center"/>
          </w:tcPr>
          <w:p w14:paraId="2E8C1078">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1803.13</w:t>
            </w:r>
          </w:p>
        </w:tc>
        <w:tc>
          <w:tcPr>
            <w:tcW w:w="2909" w:type="dxa"/>
            <w:shd w:val="clear" w:color="auto" w:fill="auto"/>
            <w:tcMar>
              <w:top w:w="15" w:type="dxa"/>
              <w:left w:w="15" w:type="dxa"/>
              <w:right w:w="15" w:type="dxa"/>
            </w:tcMar>
            <w:vAlign w:val="center"/>
          </w:tcPr>
          <w:p w14:paraId="01A0EB45">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0.04</w:t>
            </w:r>
          </w:p>
        </w:tc>
      </w:tr>
      <w:tr w14:paraId="79FBB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trPr>
        <w:tc>
          <w:tcPr>
            <w:tcW w:w="2997" w:type="dxa"/>
            <w:shd w:val="clear" w:color="auto" w:fill="auto"/>
            <w:tcMar>
              <w:top w:w="15" w:type="dxa"/>
              <w:left w:w="15" w:type="dxa"/>
              <w:right w:w="15" w:type="dxa"/>
            </w:tcMar>
            <w:vAlign w:val="center"/>
          </w:tcPr>
          <w:p w14:paraId="110C4542">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其他型退化</w:t>
            </w:r>
          </w:p>
        </w:tc>
        <w:tc>
          <w:tcPr>
            <w:tcW w:w="3075" w:type="dxa"/>
            <w:shd w:val="clear" w:color="auto" w:fill="auto"/>
            <w:tcMar>
              <w:top w:w="15" w:type="dxa"/>
              <w:left w:w="15" w:type="dxa"/>
              <w:right w:w="15" w:type="dxa"/>
            </w:tcMar>
            <w:vAlign w:val="center"/>
          </w:tcPr>
          <w:p w14:paraId="505AEED4">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2168440.89</w:t>
            </w:r>
          </w:p>
        </w:tc>
        <w:tc>
          <w:tcPr>
            <w:tcW w:w="2909" w:type="dxa"/>
            <w:shd w:val="clear" w:color="auto" w:fill="auto"/>
            <w:tcMar>
              <w:top w:w="15" w:type="dxa"/>
              <w:left w:w="15" w:type="dxa"/>
              <w:right w:w="15" w:type="dxa"/>
            </w:tcMar>
            <w:vAlign w:val="center"/>
          </w:tcPr>
          <w:p w14:paraId="36869373">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42.58</w:t>
            </w:r>
          </w:p>
        </w:tc>
      </w:tr>
      <w:tr w14:paraId="07E5B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997" w:type="dxa"/>
            <w:shd w:val="clear" w:color="auto" w:fill="auto"/>
            <w:tcMar>
              <w:top w:w="15" w:type="dxa"/>
              <w:left w:w="15" w:type="dxa"/>
              <w:right w:w="15" w:type="dxa"/>
            </w:tcMar>
            <w:vAlign w:val="center"/>
          </w:tcPr>
          <w:p w14:paraId="4FFF9DA9">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总计</w:t>
            </w:r>
          </w:p>
        </w:tc>
        <w:tc>
          <w:tcPr>
            <w:tcW w:w="3075" w:type="dxa"/>
            <w:shd w:val="clear" w:color="auto" w:fill="auto"/>
            <w:tcMar>
              <w:top w:w="15" w:type="dxa"/>
              <w:left w:w="15" w:type="dxa"/>
              <w:right w:w="15" w:type="dxa"/>
            </w:tcMar>
            <w:vAlign w:val="center"/>
          </w:tcPr>
          <w:p w14:paraId="019C4ED5">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5092449.1</w:t>
            </w:r>
            <w:r>
              <w:rPr>
                <w:rFonts w:hint="eastAsia" w:ascii="Times New Roman" w:hAnsi="Times New Roman" w:eastAsia="宋体" w:cs="Times New Roman"/>
                <w:kern w:val="0"/>
                <w:szCs w:val="21"/>
              </w:rPr>
              <w:t>0</w:t>
            </w:r>
          </w:p>
        </w:tc>
        <w:tc>
          <w:tcPr>
            <w:tcW w:w="2909" w:type="dxa"/>
            <w:shd w:val="clear" w:color="auto" w:fill="auto"/>
            <w:tcMar>
              <w:top w:w="15" w:type="dxa"/>
              <w:left w:w="15" w:type="dxa"/>
              <w:right w:w="15" w:type="dxa"/>
            </w:tcMar>
            <w:vAlign w:val="center"/>
          </w:tcPr>
          <w:p w14:paraId="6A68322A">
            <w:pPr>
              <w:widowControl/>
              <w:spacing w:line="360" w:lineRule="auto"/>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100.00</w:t>
            </w:r>
          </w:p>
        </w:tc>
      </w:tr>
    </w:tbl>
    <w:p w14:paraId="40A1B39A">
      <w:r>
        <w:br w:type="page"/>
      </w:r>
    </w:p>
    <w:p w14:paraId="46763878">
      <w:r>
        <w:drawing>
          <wp:inline distT="0" distB="0" distL="114300" distR="114300">
            <wp:extent cx="5676265" cy="3891280"/>
            <wp:effectExtent l="0" t="0" r="635" b="1397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0" cstate="print"/>
                    <a:stretch>
                      <a:fillRect/>
                    </a:stretch>
                  </pic:blipFill>
                  <pic:spPr>
                    <a:xfrm>
                      <a:off x="0" y="0"/>
                      <a:ext cx="5676265" cy="3891280"/>
                    </a:xfrm>
                    <a:prstGeom prst="rect">
                      <a:avLst/>
                    </a:prstGeom>
                    <a:noFill/>
                    <a:ln>
                      <a:noFill/>
                    </a:ln>
                  </pic:spPr>
                </pic:pic>
              </a:graphicData>
            </a:graphic>
          </wp:inline>
        </w:drawing>
      </w:r>
    </w:p>
    <w:p w14:paraId="2CC39869">
      <w:pPr>
        <w:spacing w:beforeLines="50"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图3-7昌都市草原退化类型分布图</w:t>
      </w:r>
    </w:p>
    <w:p w14:paraId="3A41C3F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（2）分县（区）退化草原类型分布情况</w:t>
      </w:r>
    </w:p>
    <w:p w14:paraId="3FBD7A0A">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未退化的面积为2734043.05公顷，占全市草原面积的比例为53.69%。草原未退化中，未退化面积占比超过10%的县有四个，分别为江达县、丁青县、察雅县、卡若区，面积和占比依次为564860.34公顷、363515.74公顷、314925.24公顷、274126.84公顷、20.66%、13.30%、11.52%、10.03%。面积最小的县为洛隆县，面积99898.21公顷，占全市草原退化等级I级的比例为3.65%。</w:t>
      </w:r>
    </w:p>
    <w:p w14:paraId="3C114B9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退化类型为其他退化的面积2168440.89公顷，占全市草原面积的比例为42.58%。草原其他退化类型中，退化面积占比超过10%的县有四个，分别为丁青县、八宿县、左贡县、边坝县，面积和占比依次为498031.61公顷、388056.68公顷、319857.02公顷、286276.15公顷、22.97%、17.90%、14.75%、13.20%。面积最小的县为贡觉县，面积20358.69公顷，占全市草原其他退化面积的比例为0.94%。</w:t>
      </w:r>
    </w:p>
    <w:p w14:paraId="720C41AD">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退化类型为毒害草型退化的面积为188162.03公顷，占全市草原面积的比例为3.69%。草原毒害草型退化类型中，退化面积占比超过10%的县有五个，分别为贡觉县、江达县、芒康县、察雅县、左贡县，面积和占比依次为48648.72公顷、47238.05公顷、36642.58公顷、25467.79公顷、24491.95公顷、25.85%、25.10%、19.47%、13.54%、13.02%。面积最小的县为八宿县，面积5672.94公顷，占全市毒害草型退化面积的比例为3.01%。</w:t>
      </w:r>
    </w:p>
    <w:p w14:paraId="361384A3">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全市草原退化类型为沙化型退化的面积为1803.13公顷，占全市草原面积的比例为0.04%。草原沙化型退化类型中，退化面积更高的是八宿县，为1769.24公顷，占比98.12%。</w:t>
      </w:r>
    </w:p>
    <w:p w14:paraId="6F16600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表3-11昌都市评估范围不同退化类型草原面积统计</w:t>
      </w:r>
    </w:p>
    <w:tbl>
      <w:tblPr>
        <w:tblStyle w:val="24"/>
        <w:tblW w:w="8981" w:type="dxa"/>
        <w:tblInd w:w="0" w:type="dxa"/>
        <w:tblLayout w:type="fixed"/>
        <w:tblCellMar>
          <w:top w:w="0" w:type="dxa"/>
          <w:left w:w="0" w:type="dxa"/>
          <w:bottom w:w="0" w:type="dxa"/>
          <w:right w:w="0" w:type="dxa"/>
        </w:tblCellMar>
      </w:tblPr>
      <w:tblGrid>
        <w:gridCol w:w="2161"/>
        <w:gridCol w:w="1729"/>
        <w:gridCol w:w="2954"/>
        <w:gridCol w:w="2137"/>
      </w:tblGrid>
      <w:tr w14:paraId="7D857EFA">
        <w:tblPrEx>
          <w:tblCellMar>
            <w:top w:w="0" w:type="dxa"/>
            <w:left w:w="0" w:type="dxa"/>
            <w:bottom w:w="0" w:type="dxa"/>
            <w:right w:w="0" w:type="dxa"/>
          </w:tblCellMar>
        </w:tblPrEx>
        <w:trPr>
          <w:trHeight w:val="300" w:hRule="atLeast"/>
        </w:trPr>
        <w:tc>
          <w:tcPr>
            <w:tcW w:w="21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76683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退化类型</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9A2E1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县（区）</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E391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面积（公顷）</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0270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占比（%）</w:t>
            </w:r>
          </w:p>
        </w:tc>
      </w:tr>
      <w:tr w14:paraId="0885FDA2">
        <w:tblPrEx>
          <w:tblCellMar>
            <w:top w:w="0" w:type="dxa"/>
            <w:left w:w="0" w:type="dxa"/>
            <w:bottom w:w="0" w:type="dxa"/>
            <w:right w:w="0" w:type="dxa"/>
          </w:tblCellMar>
        </w:tblPrEx>
        <w:trPr>
          <w:trHeight w:val="31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86B07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未退化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C2EB8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A520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2734043.05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2C46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53.69 </w:t>
            </w:r>
          </w:p>
        </w:tc>
      </w:tr>
      <w:tr w14:paraId="5E62EF94">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14B5E3">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99E3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9E5C0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274126.84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3A08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10.03 </w:t>
            </w:r>
          </w:p>
        </w:tc>
      </w:tr>
      <w:tr w14:paraId="3F40ABCD">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519400">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528CE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F194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564860.34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B272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20.66 </w:t>
            </w:r>
          </w:p>
        </w:tc>
      </w:tr>
      <w:tr w14:paraId="3A3D5260">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379F8D">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AE90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491ED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230080.98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20FA3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8.42 </w:t>
            </w:r>
          </w:p>
        </w:tc>
      </w:tr>
      <w:tr w14:paraId="79C1AB1F">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EEEAA6">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9E3DD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DF40B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171183.97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B7034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6.26 </w:t>
            </w:r>
          </w:p>
        </w:tc>
      </w:tr>
      <w:tr w14:paraId="12DC498A">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4977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1DE28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C6C7B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363515.74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DD8D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13.30 </w:t>
            </w:r>
          </w:p>
        </w:tc>
      </w:tr>
      <w:tr w14:paraId="7ACFEC23">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DF3A85">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65777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D7B5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314925.24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D9C19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11.52 </w:t>
            </w:r>
          </w:p>
        </w:tc>
      </w:tr>
      <w:tr w14:paraId="6F67FA88">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7480B3">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69F1D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EC27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243218.48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79699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8.90 </w:t>
            </w:r>
          </w:p>
        </w:tc>
      </w:tr>
      <w:tr w14:paraId="7F3D3AEE">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64CA1B">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0B5C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0528D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160950.15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900B6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5.89 </w:t>
            </w:r>
          </w:p>
        </w:tc>
      </w:tr>
      <w:tr w14:paraId="75B0ECBF">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14B8A">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0A1B0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BFE4B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178400.23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95020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6.53 </w:t>
            </w:r>
          </w:p>
        </w:tc>
      </w:tr>
      <w:tr w14:paraId="03DA5F2E">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F8833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F7FD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2CB97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99898.21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C3BF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3.65 </w:t>
            </w:r>
          </w:p>
        </w:tc>
      </w:tr>
      <w:tr w14:paraId="142EAE3D">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ED7D46">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05FA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CE0F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132882.87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5FA61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4.86 </w:t>
            </w:r>
          </w:p>
        </w:tc>
      </w:tr>
      <w:tr w14:paraId="55F94528">
        <w:tblPrEx>
          <w:tblCellMar>
            <w:top w:w="0" w:type="dxa"/>
            <w:left w:w="0" w:type="dxa"/>
            <w:bottom w:w="0" w:type="dxa"/>
            <w:right w:w="0" w:type="dxa"/>
          </w:tblCellMar>
        </w:tblPrEx>
        <w:trPr>
          <w:trHeight w:val="31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09250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毒害草型退化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ED168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9606A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188162.03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71121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3.69 </w:t>
            </w:r>
          </w:p>
        </w:tc>
      </w:tr>
      <w:tr w14:paraId="0C39E95C">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40232D">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DE1AF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DE8D8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47238.05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B9884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25.10 </w:t>
            </w:r>
          </w:p>
        </w:tc>
      </w:tr>
      <w:tr w14:paraId="3D63BFC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AEF9E7">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FDB7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0783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48648.72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42AE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25.85 </w:t>
            </w:r>
          </w:p>
        </w:tc>
      </w:tr>
      <w:tr w14:paraId="40082A3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5D5A88">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D502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A1C97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24491.95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8FC7B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13.02 </w:t>
            </w:r>
          </w:p>
        </w:tc>
      </w:tr>
      <w:tr w14:paraId="7CFC7576">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F0E3E4">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876A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5CDEB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5672.94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B098E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3.01 </w:t>
            </w:r>
          </w:p>
        </w:tc>
      </w:tr>
      <w:tr w14:paraId="236C6504">
        <w:tblPrEx>
          <w:tblCellMar>
            <w:top w:w="0" w:type="dxa"/>
            <w:left w:w="0" w:type="dxa"/>
            <w:bottom w:w="0" w:type="dxa"/>
            <w:right w:w="0" w:type="dxa"/>
          </w:tblCellMar>
        </w:tblPrEx>
        <w:trPr>
          <w:trHeight w:val="30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B851ED">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A54E9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53CDD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25467.79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6B31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13.54 </w:t>
            </w:r>
          </w:p>
        </w:tc>
      </w:tr>
      <w:tr w14:paraId="23C75BEB">
        <w:tblPrEx>
          <w:tblCellMar>
            <w:top w:w="0" w:type="dxa"/>
            <w:left w:w="0" w:type="dxa"/>
            <w:bottom w:w="0" w:type="dxa"/>
            <w:right w:w="0" w:type="dxa"/>
          </w:tblCellMar>
        </w:tblPrEx>
        <w:trPr>
          <w:trHeight w:val="30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E0C85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56335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02C51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36642.58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DA187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19.47 </w:t>
            </w:r>
          </w:p>
        </w:tc>
      </w:tr>
      <w:tr w14:paraId="761F55E8">
        <w:tblPrEx>
          <w:tblCellMar>
            <w:top w:w="0" w:type="dxa"/>
            <w:left w:w="0" w:type="dxa"/>
            <w:bottom w:w="0" w:type="dxa"/>
            <w:right w:w="0" w:type="dxa"/>
          </w:tblCellMar>
        </w:tblPrEx>
        <w:trPr>
          <w:trHeight w:val="27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842BE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沙化型退化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48C4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1AB54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1803.13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75C0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0.04 </w:t>
            </w:r>
          </w:p>
        </w:tc>
      </w:tr>
      <w:tr w14:paraId="1952C7C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D58948">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D13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5FEF7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23.01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FF972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1.28 </w:t>
            </w:r>
          </w:p>
        </w:tc>
      </w:tr>
      <w:tr w14:paraId="3ADB1044">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C385E2">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FAF01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78F8D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1769.24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1439C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98.12 </w:t>
            </w:r>
          </w:p>
        </w:tc>
      </w:tr>
      <w:tr w14:paraId="25014E11">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D938F7">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11734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BD137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10.88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E9459">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0.60 </w:t>
            </w:r>
          </w:p>
        </w:tc>
      </w:tr>
      <w:tr w14:paraId="1C2CE60A">
        <w:tblPrEx>
          <w:tblCellMar>
            <w:top w:w="0" w:type="dxa"/>
            <w:left w:w="0" w:type="dxa"/>
            <w:bottom w:w="0" w:type="dxa"/>
            <w:right w:w="0" w:type="dxa"/>
          </w:tblCellMar>
        </w:tblPrEx>
        <w:trPr>
          <w:trHeight w:val="315" w:hRule="atLeast"/>
        </w:trPr>
        <w:tc>
          <w:tcPr>
            <w:tcW w:w="2161"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47A8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其他型退化</w:t>
            </w: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70230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小计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3ED57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2168440.89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4507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42.58 </w:t>
            </w:r>
          </w:p>
        </w:tc>
      </w:tr>
      <w:tr w14:paraId="6FF15FC7">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AF33EA">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B54D7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卡若区</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2652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66486.01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50332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3.07 </w:t>
            </w:r>
          </w:p>
        </w:tc>
      </w:tr>
      <w:tr w14:paraId="35BD20B9">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E91211">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2B0133">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江达县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28DC2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137576.21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74905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6.34 </w:t>
            </w:r>
          </w:p>
        </w:tc>
      </w:tr>
      <w:tr w14:paraId="4CF51CD7">
        <w:tblPrEx>
          <w:tblCellMar>
            <w:top w:w="0" w:type="dxa"/>
            <w:left w:w="0" w:type="dxa"/>
            <w:bottom w:w="0" w:type="dxa"/>
            <w:right w:w="0" w:type="dxa"/>
          </w:tblCellMar>
        </w:tblPrEx>
        <w:trPr>
          <w:trHeight w:val="24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DC07F">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108F6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贡觉县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95E12">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20358.69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F32DD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0.94 </w:t>
            </w:r>
          </w:p>
        </w:tc>
      </w:tr>
      <w:tr w14:paraId="70E4F1AA">
        <w:tblPrEx>
          <w:tblCellMar>
            <w:top w:w="0" w:type="dxa"/>
            <w:left w:w="0" w:type="dxa"/>
            <w:bottom w:w="0" w:type="dxa"/>
            <w:right w:w="0" w:type="dxa"/>
          </w:tblCellMar>
        </w:tblPrEx>
        <w:trPr>
          <w:trHeight w:val="24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DF5A70">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40983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类乌齐县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FE66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141167.73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12203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6.51 </w:t>
            </w:r>
          </w:p>
        </w:tc>
      </w:tr>
      <w:tr w14:paraId="367B31A3">
        <w:tblPrEx>
          <w:tblCellMar>
            <w:top w:w="0" w:type="dxa"/>
            <w:left w:w="0" w:type="dxa"/>
            <w:bottom w:w="0" w:type="dxa"/>
            <w:right w:w="0" w:type="dxa"/>
          </w:tblCellMar>
        </w:tblPrEx>
        <w:trPr>
          <w:trHeight w:val="23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227D8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F0719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丁青县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9F5B0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498031.61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009A1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22.97 </w:t>
            </w:r>
          </w:p>
        </w:tc>
      </w:tr>
      <w:tr w14:paraId="13CEDEB2">
        <w:tblPrEx>
          <w:tblCellMar>
            <w:top w:w="0" w:type="dxa"/>
            <w:left w:w="0" w:type="dxa"/>
            <w:bottom w:w="0" w:type="dxa"/>
            <w:right w:w="0" w:type="dxa"/>
          </w:tblCellMar>
        </w:tblPrEx>
        <w:trPr>
          <w:trHeight w:val="315"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CE5021">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065FE5">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察雅县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1805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98769.48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58C52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4.55 </w:t>
            </w:r>
          </w:p>
        </w:tc>
      </w:tr>
      <w:tr w14:paraId="5EC9A092">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8AA293">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82EC8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八宿县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D000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388056.68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FE0A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17.90 </w:t>
            </w:r>
          </w:p>
        </w:tc>
      </w:tr>
      <w:tr w14:paraId="156F18E3">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051B0C">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CD9F17">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左贡县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EE2C2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319857.02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55601">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14.75 </w:t>
            </w:r>
          </w:p>
        </w:tc>
      </w:tr>
      <w:tr w14:paraId="6C676949">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962AA">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A12B0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芒康县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A27FFE">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56913.24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A825EB">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2.62 </w:t>
            </w:r>
          </w:p>
        </w:tc>
      </w:tr>
      <w:tr w14:paraId="2987E8BC">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B1B629">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CC26B4">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洛隆县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CDF95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154948.07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3F14B0">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7.15 </w:t>
            </w:r>
          </w:p>
        </w:tc>
      </w:tr>
      <w:tr w14:paraId="0BCF581E">
        <w:tblPrEx>
          <w:tblCellMar>
            <w:top w:w="0" w:type="dxa"/>
            <w:left w:w="0" w:type="dxa"/>
            <w:bottom w:w="0" w:type="dxa"/>
            <w:right w:w="0" w:type="dxa"/>
          </w:tblCellMar>
        </w:tblPrEx>
        <w:trPr>
          <w:trHeight w:val="300" w:hRule="atLeast"/>
        </w:trPr>
        <w:tc>
          <w:tcPr>
            <w:tcW w:w="2161"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87A77E">
            <w:pPr>
              <w:jc w:val="center"/>
              <w:rPr>
                <w:rFonts w:ascii="Times New Roman" w:hAnsi="Times New Roman" w:eastAsia="宋体" w:cs="Times New Roman"/>
                <w:sz w:val="22"/>
              </w:rPr>
            </w:pPr>
          </w:p>
        </w:tc>
        <w:tc>
          <w:tcPr>
            <w:tcW w:w="172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8AB09A">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边坝县</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66A56">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286276.15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0C0BC">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13.20 </w:t>
            </w:r>
          </w:p>
        </w:tc>
      </w:tr>
      <w:tr w14:paraId="4936F986">
        <w:tblPrEx>
          <w:tblCellMar>
            <w:top w:w="0" w:type="dxa"/>
            <w:left w:w="0" w:type="dxa"/>
            <w:bottom w:w="0" w:type="dxa"/>
            <w:right w:w="0" w:type="dxa"/>
          </w:tblCellMar>
        </w:tblPrEx>
        <w:trPr>
          <w:trHeight w:val="315" w:hRule="atLeast"/>
        </w:trPr>
        <w:tc>
          <w:tcPr>
            <w:tcW w:w="3890"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2F9588">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总计</w:t>
            </w:r>
          </w:p>
        </w:tc>
        <w:tc>
          <w:tcPr>
            <w:tcW w:w="295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29BD4D">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5092449.10 </w:t>
            </w:r>
          </w:p>
        </w:tc>
        <w:tc>
          <w:tcPr>
            <w:tcW w:w="21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FC7B8F">
            <w:pPr>
              <w:widowControl/>
              <w:jc w:val="center"/>
              <w:textAlignment w:val="center"/>
              <w:rPr>
                <w:rFonts w:ascii="Times New Roman" w:hAnsi="Times New Roman" w:eastAsia="宋体" w:cs="Times New Roman"/>
                <w:sz w:val="22"/>
              </w:rPr>
            </w:pPr>
            <w:r>
              <w:rPr>
                <w:rFonts w:ascii="Times New Roman" w:hAnsi="Times New Roman" w:eastAsia="宋体" w:cs="Times New Roman"/>
                <w:kern w:val="0"/>
                <w:sz w:val="22"/>
              </w:rPr>
              <w:t xml:space="preserve">100.00 </w:t>
            </w:r>
          </w:p>
        </w:tc>
      </w:tr>
    </w:tbl>
    <w:p w14:paraId="6F88E80D">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草原退化原因分析</w:t>
      </w:r>
    </w:p>
    <w:p w14:paraId="11E2DD6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草原退化的原因主要包括自然因素和人为因素两大方面，两者相互叠加作用导致昌都草原退化。其中，气候变化是导致昌都草原退化的重要自然原因之一，例如，局部气候暖湿化或干热化、鼠虫害等都对草原生长和恢复造成严重影响。此外，昌都草原退化的人为原因也不容忽视，例如挖掘药材、超载过牧对草原的不利影响等。昌都部分农牧民对草原重利用、轻保护、草原公用、牲畜私有，农牧民养畜需求高，但管理、保护、建设草原积极性不高，草原超载过牧；草原连年重牧，掠夺性的使用造成草原连年重负，草畜时空配置不当，畜群结构不合理等，自然和人为原因叠加，造成草原生态系统失衡，草原逐年退化。</w:t>
      </w:r>
    </w:p>
    <w:p w14:paraId="7FC40923">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（1）自然因素</w:t>
      </w:r>
    </w:p>
    <w:p w14:paraId="72E8DB4D">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①</w:t>
      </w:r>
      <w:r>
        <w:rPr>
          <w:rFonts w:ascii="Times New Roman" w:hAnsi="Times New Roman" w:cs="Times New Roman"/>
          <w:sz w:val="24"/>
          <w:szCs w:val="24"/>
        </w:rPr>
        <w:t>气候变化是重要自然因素之一。昌都市位于青藏高原，气候严酷，生态系统脆弱。近年来，全球气候变暖导致气温升高、降水模式改变，虽然降水总量有所增加，但由于增温导致蒸散强烈，总体气候趋于暖干化。这种变化使得植物生长受到限制，草原植被生产力下降，同时气温升高还导致山体滑坡等自然灾害频发。</w:t>
      </w:r>
    </w:p>
    <w:p w14:paraId="632AD848">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②</w:t>
      </w:r>
      <w:r>
        <w:rPr>
          <w:rFonts w:ascii="Times New Roman" w:hAnsi="Times New Roman" w:cs="Times New Roman"/>
          <w:sz w:val="24"/>
          <w:szCs w:val="24"/>
        </w:rPr>
        <w:t>恶劣的自然环境也是重要原因。昌都市海拔高、气温低、环境干旱，土壤发育历史短，普遍具有粗骨性强、抗蚀能力弱的特点。植物生长层极薄，有的仅为20-30厘米，在外界过度扰动下极易出现草地沙化、水土流失等风险。此外，鼠虫害、雪灾风害等自然灾害也对草原生态系统造成破坏。</w:t>
      </w:r>
    </w:p>
    <w:p w14:paraId="1450AD3E">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（2）人为因素</w:t>
      </w:r>
    </w:p>
    <w:p w14:paraId="79AFF15C">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①</w:t>
      </w:r>
      <w:r>
        <w:rPr>
          <w:rFonts w:ascii="Times New Roman" w:hAnsi="Times New Roman" w:cs="Times New Roman"/>
          <w:sz w:val="24"/>
          <w:szCs w:val="24"/>
        </w:rPr>
        <w:t>过度放牧是昌都市草原退化的最主要原因。随着人口增长和畜牧业发展，牲畜数量不断增加，导致草场超载过牧现象严重。过度放牧使牧草光合作用不能正常进行，种子繁殖和营养更新受阻，草原植被覆盖度和生物量下降，优质牧草比例减少，毒草等不可食杂草比例增加。</w:t>
      </w:r>
    </w:p>
    <w:p w14:paraId="6F9D9009">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②</w:t>
      </w:r>
      <w:r>
        <w:rPr>
          <w:rFonts w:ascii="Times New Roman" w:hAnsi="Times New Roman" w:cs="Times New Roman"/>
          <w:sz w:val="24"/>
          <w:szCs w:val="24"/>
        </w:rPr>
        <w:t>不合理的开发利用同样加剧了草原退化。包括过度樵采挖药、开矿修路、乱挖滥割等行为，破坏了草地植被和土壤结构，使风蚀、水蚀、沙化、盐渍化等问题加剧。在居民点、畜群点、饮水点或河流、道路两侧，由于缺乏保护与管理措施，草原退化往往以同心圆或平行于河流、道路逐步向外扩展。</w:t>
      </w:r>
    </w:p>
    <w:p w14:paraId="4126B020">
      <w:pPr>
        <w:spacing w:line="360" w:lineRule="auto"/>
        <w:ind w:firstLine="480" w:firstLineChars="200"/>
        <w:rPr>
          <w:rFonts w:ascii="Times New Roman" w:hAnsi="Times New Roman" w:cs="Times New Roman"/>
          <w:sz w:val="24"/>
          <w:szCs w:val="24"/>
        </w:rPr>
      </w:pPr>
      <w:r>
        <w:rPr>
          <w:rFonts w:cs="Times New Roman" w:asciiTheme="minorEastAsia" w:hAnsiTheme="minorEastAsia"/>
          <w:sz w:val="24"/>
          <w:szCs w:val="24"/>
        </w:rPr>
        <w:t>③</w:t>
      </w:r>
      <w:r>
        <w:rPr>
          <w:rFonts w:ascii="Times New Roman" w:hAnsi="Times New Roman" w:cs="Times New Roman"/>
          <w:sz w:val="24"/>
          <w:szCs w:val="24"/>
        </w:rPr>
        <w:t>人口增长和经济发展压力也是重要因素。昌都市人口平均年增长率为1.50%，近40年人口数翻了一番。随着人口增长，人们对各种资源的需求量增加，导致对草原的开发利用强度不断加大，草原生态系统长期入不敷出，违背了生态平衡的基本原则。</w:t>
      </w:r>
    </w:p>
    <w:p w14:paraId="54344F7A">
      <w:pPr>
        <w:pStyle w:val="4"/>
        <w:numPr>
          <w:ilvl w:val="2"/>
          <w:numId w:val="2"/>
        </w:numPr>
        <w:spacing w:before="120" w:after="120" w:line="360" w:lineRule="auto"/>
        <w:rPr>
          <w:rStyle w:val="28"/>
          <w:color w:val="auto"/>
          <w:sz w:val="28"/>
          <w:szCs w:val="28"/>
          <w:u w:val="none"/>
        </w:rPr>
      </w:pPr>
      <w:bookmarkStart w:id="36" w:name="_Toc7768"/>
      <w:r>
        <w:rPr>
          <w:rStyle w:val="28"/>
          <w:rFonts w:hint="eastAsia"/>
          <w:color w:val="auto"/>
          <w:sz w:val="28"/>
          <w:szCs w:val="28"/>
          <w:u w:val="none"/>
        </w:rPr>
        <w:t>草原有害生物发生情况</w:t>
      </w:r>
      <w:bookmarkEnd w:id="36"/>
    </w:p>
    <w:p w14:paraId="067FC45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（1）草原鼠害：</w:t>
      </w:r>
      <w:r>
        <w:rPr>
          <w:rFonts w:ascii="Times New Roman" w:hAnsi="Times New Roman" w:cs="Times New Roman"/>
          <w:sz w:val="24"/>
          <w:szCs w:val="24"/>
        </w:rPr>
        <w:t>昌都市境内常见的草原啮齿动物有高原鼠兔、喜马拉雅旱獭、高原鼢鼠、大耳鼠兔等。其中，高原鼠兔与喜马拉雅旱獭主要分布于居民生活周边以及道路两侧，因其天敌大鵟、猎隼、藏狐以及狼等生性怕人，故在人为活动较为频繁的地区，危害较为严重。草原鼠害现象在各县区均有发生。主要害鼠</w:t>
      </w:r>
      <w:r>
        <w:rPr>
          <w:rFonts w:hint="eastAsia" w:ascii="Times New Roman" w:hAnsi="Times New Roman" w:cs="Times New Roman"/>
          <w:sz w:val="24"/>
          <w:szCs w:val="24"/>
        </w:rPr>
        <w:t>在</w:t>
      </w:r>
      <w:r>
        <w:rPr>
          <w:rFonts w:ascii="Times New Roman" w:hAnsi="Times New Roman" w:cs="Times New Roman"/>
          <w:sz w:val="24"/>
          <w:szCs w:val="24"/>
        </w:rPr>
        <w:t>数量多的年份会啃食大量优质牧草，并且常有大片植被因地下茎和根被刨食而枯死，在牧场上形成无草的黑色裸地，造成高寒草甸草原的草地退化与水土流失，甚至导致高寒草地荒漠化。通过调查发现，草原鼠害已对当地的草原造成了退化、水土流失等负面影响。对当地的生态环境、畜牧养殖形成了一定的危害，对当地造成了巨大的经济损失。当地鼠害不但啃食大量优质牧草，而且常有大片植被因地下茎和根被刨食而枯死，在牧场上形成无草的黑色裸地。一方面降低了草原植被盖度，加快了草场退化。另一方面导致了土质疏松，土壤水源涵养能力下降，肥力降低。</w:t>
      </w:r>
    </w:p>
    <w:p w14:paraId="06A2B4B5">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（2）毒害草：毒害草在昌都市境内各县区均有分布。</w:t>
      </w:r>
      <w:r>
        <w:rPr>
          <w:rFonts w:ascii="Times New Roman" w:hAnsi="Times New Roman" w:cs="Times New Roman"/>
          <w:sz w:val="24"/>
          <w:szCs w:val="24"/>
        </w:rPr>
        <w:t>常见的毒害草有瑞香狼毒、</w:t>
      </w:r>
      <w:r>
        <w:rPr>
          <w:rFonts w:ascii="Times New Roman" w:hAnsi="Times New Roman" w:cs="Times New Roman"/>
          <w:sz w:val="24"/>
          <w:szCs w:val="24"/>
          <w:lang w:bidi="en-US"/>
        </w:rPr>
        <w:t>酸模、香薷、</w:t>
      </w:r>
      <w:r>
        <w:rPr>
          <w:rFonts w:hint="eastAsia" w:ascii="Times New Roman" w:hAnsi="Times New Roman" w:cs="Times New Roman"/>
          <w:sz w:val="24"/>
          <w:szCs w:val="24"/>
          <w:lang w:bidi="en-US"/>
        </w:rPr>
        <w:t>醉马草、</w:t>
      </w:r>
      <w:r>
        <w:rPr>
          <w:rFonts w:ascii="Times New Roman" w:hAnsi="Times New Roman" w:cs="Times New Roman"/>
          <w:sz w:val="24"/>
          <w:szCs w:val="24"/>
        </w:rPr>
        <w:t>刺参、节节草、白花枝子花、坚硬黄芪、密丛棘豆等，已对当地草原造成一定的危害，这些毒害草生产及侵占能力极强，不仅与其他牧草争夺生存空间和生存资源，抑制和排斥其他植被生长，破坏生物多样性，造成了巨大的经济损失，而且还具备毒性，在家畜采食或误食后，易对其生长发育造成不良影响，甚至死亡等。</w:t>
      </w:r>
    </w:p>
    <w:p w14:paraId="6F2A173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（3）草原虫害：</w:t>
      </w:r>
      <w:r>
        <w:rPr>
          <w:rFonts w:ascii="Times New Roman" w:hAnsi="Times New Roman" w:cs="Times New Roman"/>
          <w:sz w:val="24"/>
          <w:szCs w:val="24"/>
        </w:rPr>
        <w:t>昌都市境内常见的草原虫害有西藏蝗虫、草原毛虫、叶甲类昆虫、亚洲小车蝗、中华稻蝗、粗绿彩丽金龟、东方粉蝶、西藏脊翅蝗、草地螟等。其中，西藏飞蝗（</w:t>
      </w:r>
      <w:r>
        <w:rPr>
          <w:rFonts w:ascii="Times New Roman" w:hAnsi="Times New Roman" w:cs="Times New Roman"/>
          <w:i/>
          <w:iCs/>
          <w:sz w:val="24"/>
          <w:szCs w:val="24"/>
        </w:rPr>
        <w:t>Locusta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migratoria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tibetensis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Chen</w:t>
      </w:r>
      <w:r>
        <w:rPr>
          <w:rFonts w:ascii="Times New Roman" w:hAnsi="Times New Roman" w:cs="Times New Roman"/>
          <w:sz w:val="24"/>
          <w:szCs w:val="24"/>
        </w:rPr>
        <w:t>）是我国青藏高原牧区的重要害虫，属于直翅目、飞蝗科。主要</w:t>
      </w:r>
      <w:r>
        <w:rPr>
          <w:rFonts w:hint="eastAsia" w:ascii="Times New Roman" w:hAnsi="Times New Roman" w:cs="Times New Roman"/>
          <w:sz w:val="24"/>
          <w:szCs w:val="24"/>
        </w:rPr>
        <w:t>危害</w:t>
      </w:r>
      <w:r>
        <w:rPr>
          <w:rFonts w:ascii="Times New Roman" w:hAnsi="Times New Roman" w:cs="Times New Roman"/>
          <w:sz w:val="24"/>
          <w:szCs w:val="24"/>
        </w:rPr>
        <w:t>莎草科、禾本科等各类牧草，严重影响牧草生长，造成草原缺草，从而妨碍畜牧业的发展。草原蝗虫一旦聚集成灾，蝗虫啃食草地，轻微的会造成牧草减产，严重者甚至会导致草地退化或者水土流失形成草地荒漠化。已发现的部分有害生物在当地呈现泛滥趋势，并已对当地草原造成一定的危害</w:t>
      </w:r>
      <w:r>
        <w:rPr>
          <w:rFonts w:hint="eastAsia" w:ascii="Times New Roman" w:hAnsi="Times New Roman" w:cs="Times New Roman"/>
          <w:sz w:val="24"/>
          <w:szCs w:val="24"/>
        </w:rPr>
        <w:t>。</w:t>
      </w:r>
    </w:p>
    <w:p w14:paraId="33E09A17">
      <w:pPr>
        <w:pStyle w:val="4"/>
        <w:numPr>
          <w:ilvl w:val="2"/>
          <w:numId w:val="2"/>
        </w:numPr>
        <w:spacing w:before="120" w:after="120" w:line="360" w:lineRule="auto"/>
        <w:rPr>
          <w:rStyle w:val="28"/>
          <w:color w:val="auto"/>
          <w:sz w:val="28"/>
          <w:szCs w:val="28"/>
          <w:u w:val="none"/>
        </w:rPr>
      </w:pPr>
      <w:bookmarkStart w:id="37" w:name="_Toc26861"/>
      <w:r>
        <w:rPr>
          <w:rStyle w:val="28"/>
          <w:rFonts w:hint="eastAsia"/>
          <w:color w:val="auto"/>
          <w:sz w:val="28"/>
          <w:szCs w:val="28"/>
          <w:u w:val="none"/>
        </w:rPr>
        <w:t>外来入侵物种发生情况</w:t>
      </w:r>
      <w:bookmarkEnd w:id="37"/>
    </w:p>
    <w:p w14:paraId="5A1899E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森林、草原、湿地生态系统外来入侵物种普查工作总结报告》（2023年9月，昌都市林业和草原局，国家林业局昆明勘察设计院），昌都市共记录27种外来入侵物种，包括植物25种，两栖动物1种，爬行动物1种。其中外来入侵植物分属于8科，20属。其中1级恶性入侵类植物6种：鬼针草</w:t>
      </w:r>
      <w:r>
        <w:rPr>
          <w:rFonts w:ascii="Times New Roman" w:hAnsi="Times New Roman" w:cs="Times New Roman"/>
          <w:i/>
          <w:iCs/>
          <w:sz w:val="24"/>
          <w:szCs w:val="24"/>
        </w:rPr>
        <w:t>Bidens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pilosa</w:t>
      </w:r>
      <w:r>
        <w:rPr>
          <w:rFonts w:ascii="Times New Roman" w:hAnsi="Times New Roman" w:cs="Times New Roman"/>
          <w:sz w:val="24"/>
          <w:szCs w:val="24"/>
        </w:rPr>
        <w:t>、一年蓬</w:t>
      </w:r>
      <w:r>
        <w:rPr>
          <w:rFonts w:ascii="Times New Roman" w:hAnsi="Times New Roman" w:cs="Times New Roman"/>
          <w:i/>
          <w:iCs/>
          <w:sz w:val="24"/>
          <w:szCs w:val="24"/>
        </w:rPr>
        <w:t>Erigeron</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annuus</w:t>
      </w:r>
      <w:r>
        <w:rPr>
          <w:rFonts w:ascii="Times New Roman" w:hAnsi="Times New Roman" w:cs="Times New Roman"/>
          <w:sz w:val="24"/>
          <w:szCs w:val="24"/>
        </w:rPr>
        <w:t>、小蓬草</w:t>
      </w:r>
      <w:r>
        <w:rPr>
          <w:rFonts w:ascii="Times New Roman" w:hAnsi="Times New Roman" w:cs="Times New Roman"/>
          <w:i/>
          <w:iCs/>
          <w:sz w:val="24"/>
          <w:szCs w:val="24"/>
        </w:rPr>
        <w:t>Erigeron</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canadensis</w:t>
      </w:r>
      <w:r>
        <w:rPr>
          <w:rFonts w:ascii="Times New Roman" w:hAnsi="Times New Roman" w:cs="Times New Roman"/>
          <w:sz w:val="24"/>
          <w:szCs w:val="24"/>
        </w:rPr>
        <w:t>、苏门白酒草</w:t>
      </w:r>
      <w:r>
        <w:rPr>
          <w:rFonts w:ascii="Times New Roman" w:hAnsi="Times New Roman" w:cs="Times New Roman"/>
          <w:i/>
          <w:iCs/>
          <w:sz w:val="24"/>
          <w:szCs w:val="24"/>
        </w:rPr>
        <w:t>Erigeron</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sumatrensis</w:t>
      </w:r>
      <w:r>
        <w:rPr>
          <w:rFonts w:ascii="Times New Roman" w:hAnsi="Times New Roman" w:cs="Times New Roman"/>
          <w:sz w:val="24"/>
          <w:szCs w:val="24"/>
        </w:rPr>
        <w:t>、反枝苋</w:t>
      </w:r>
      <w:r>
        <w:rPr>
          <w:rFonts w:ascii="Times New Roman" w:hAnsi="Times New Roman" w:cs="Times New Roman"/>
          <w:i/>
          <w:iCs/>
          <w:sz w:val="24"/>
          <w:szCs w:val="24"/>
        </w:rPr>
        <w:t>Amaranthus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retroflexus</w:t>
      </w:r>
      <w:r>
        <w:rPr>
          <w:rFonts w:ascii="Times New Roman" w:hAnsi="Times New Roman" w:cs="Times New Roman"/>
          <w:sz w:val="24"/>
          <w:szCs w:val="24"/>
        </w:rPr>
        <w:t>、土荆芥</w:t>
      </w:r>
      <w:r>
        <w:rPr>
          <w:rFonts w:ascii="Times New Roman" w:hAnsi="Times New Roman" w:cs="Times New Roman"/>
          <w:i/>
          <w:iCs/>
          <w:sz w:val="24"/>
          <w:szCs w:val="24"/>
        </w:rPr>
        <w:t>Dysphania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ambrosioides</w:t>
      </w:r>
      <w:r>
        <w:rPr>
          <w:rFonts w:ascii="Times New Roman" w:hAnsi="Times New Roman" w:cs="Times New Roman"/>
          <w:sz w:val="24"/>
          <w:szCs w:val="24"/>
        </w:rPr>
        <w:t>；2级严重入侵类6种：粗毛牛膝菊</w:t>
      </w:r>
      <w:r>
        <w:rPr>
          <w:rFonts w:ascii="Times New Roman" w:hAnsi="Times New Roman" w:cs="Times New Roman"/>
          <w:i/>
          <w:iCs/>
          <w:sz w:val="24"/>
          <w:szCs w:val="24"/>
        </w:rPr>
        <w:t>Galinsoga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quadriradiata</w:t>
      </w:r>
      <w:r>
        <w:rPr>
          <w:rFonts w:ascii="Times New Roman" w:hAnsi="Times New Roman" w:cs="Times New Roman"/>
          <w:sz w:val="24"/>
          <w:szCs w:val="24"/>
        </w:rPr>
        <w:t>、牛膝菊</w:t>
      </w:r>
      <w:r>
        <w:rPr>
          <w:rFonts w:ascii="Times New Roman" w:hAnsi="Times New Roman" w:cs="Times New Roman"/>
          <w:i/>
          <w:iCs/>
          <w:sz w:val="24"/>
          <w:szCs w:val="24"/>
        </w:rPr>
        <w:t>Galinsoga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parviflora</w:t>
      </w:r>
      <w:r>
        <w:rPr>
          <w:rFonts w:ascii="Times New Roman" w:hAnsi="Times New Roman" w:cs="Times New Roman"/>
          <w:sz w:val="24"/>
          <w:szCs w:val="24"/>
        </w:rPr>
        <w:t>、野燕麦</w:t>
      </w:r>
      <w:r>
        <w:rPr>
          <w:rFonts w:ascii="Times New Roman" w:hAnsi="Times New Roman" w:cs="Times New Roman"/>
          <w:i/>
          <w:iCs/>
          <w:sz w:val="24"/>
          <w:szCs w:val="24"/>
        </w:rPr>
        <w:t>Avena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fatua</w:t>
      </w:r>
      <w:r>
        <w:rPr>
          <w:rFonts w:ascii="Times New Roman" w:hAnsi="Times New Roman" w:cs="Times New Roman"/>
          <w:sz w:val="24"/>
          <w:szCs w:val="24"/>
        </w:rPr>
        <w:t>、杂配藜</w:t>
      </w:r>
      <w:r>
        <w:rPr>
          <w:rFonts w:ascii="Times New Roman" w:hAnsi="Times New Roman" w:cs="Times New Roman"/>
          <w:i/>
          <w:iCs/>
          <w:sz w:val="24"/>
          <w:szCs w:val="24"/>
        </w:rPr>
        <w:t>Chenopodiastrum</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hybridum</w:t>
      </w:r>
      <w:r>
        <w:rPr>
          <w:rFonts w:ascii="Times New Roman" w:hAnsi="Times New Roman" w:cs="Times New Roman"/>
          <w:sz w:val="24"/>
          <w:szCs w:val="24"/>
        </w:rPr>
        <w:t>、刺花莲子草</w:t>
      </w:r>
      <w:r>
        <w:rPr>
          <w:rFonts w:ascii="Times New Roman" w:hAnsi="Times New Roman" w:cs="Times New Roman"/>
          <w:i/>
          <w:iCs/>
          <w:sz w:val="24"/>
          <w:szCs w:val="24"/>
        </w:rPr>
        <w:t>Alternanthera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pungens</w:t>
      </w:r>
      <w:r>
        <w:rPr>
          <w:rFonts w:ascii="Times New Roman" w:hAnsi="Times New Roman" w:cs="Times New Roman"/>
          <w:sz w:val="24"/>
          <w:szCs w:val="24"/>
        </w:rPr>
        <w:t>、曼陀罗</w:t>
      </w:r>
      <w:r>
        <w:rPr>
          <w:rFonts w:ascii="Times New Roman" w:hAnsi="Times New Roman" w:cs="Times New Roman"/>
          <w:i/>
          <w:iCs/>
          <w:sz w:val="24"/>
          <w:szCs w:val="24"/>
        </w:rPr>
        <w:t>Datura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stramonium</w:t>
      </w:r>
      <w:r>
        <w:rPr>
          <w:rFonts w:ascii="Times New Roman" w:hAnsi="Times New Roman" w:cs="Times New Roman"/>
          <w:sz w:val="24"/>
          <w:szCs w:val="24"/>
        </w:rPr>
        <w:t>；3级局部入侵类1种：假酸浆</w:t>
      </w:r>
      <w:r>
        <w:rPr>
          <w:rFonts w:ascii="Times New Roman" w:hAnsi="Times New Roman" w:cs="Times New Roman"/>
          <w:i/>
          <w:iCs/>
          <w:sz w:val="24"/>
          <w:szCs w:val="24"/>
        </w:rPr>
        <w:t>Nicandra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physalodes</w:t>
      </w:r>
      <w:r>
        <w:rPr>
          <w:rFonts w:ascii="Times New Roman" w:hAnsi="Times New Roman" w:cs="Times New Roman"/>
          <w:sz w:val="24"/>
          <w:szCs w:val="24"/>
        </w:rPr>
        <w:t>；4级一般入侵类12种：欧洲千里光</w:t>
      </w:r>
      <w:r>
        <w:rPr>
          <w:rFonts w:ascii="Times New Roman" w:hAnsi="Times New Roman" w:cs="Times New Roman"/>
          <w:i/>
          <w:iCs/>
          <w:sz w:val="24"/>
          <w:szCs w:val="24"/>
        </w:rPr>
        <w:t>Senecio</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vulgaris</w:t>
      </w:r>
      <w:r>
        <w:rPr>
          <w:rFonts w:ascii="Times New Roman" w:hAnsi="Times New Roman" w:cs="Times New Roman"/>
          <w:sz w:val="24"/>
          <w:szCs w:val="24"/>
        </w:rPr>
        <w:t>、苦苣菜</w:t>
      </w:r>
      <w:r>
        <w:rPr>
          <w:rFonts w:ascii="Times New Roman" w:hAnsi="Times New Roman" w:cs="Times New Roman"/>
          <w:i/>
          <w:iCs/>
          <w:sz w:val="24"/>
          <w:szCs w:val="24"/>
        </w:rPr>
        <w:t>Sonchus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oleraceus</w:t>
      </w:r>
      <w:r>
        <w:rPr>
          <w:rFonts w:ascii="Times New Roman" w:hAnsi="Times New Roman" w:cs="Times New Roman"/>
          <w:sz w:val="24"/>
          <w:szCs w:val="24"/>
        </w:rPr>
        <w:t>、续断菊</w:t>
      </w:r>
      <w:r>
        <w:rPr>
          <w:rFonts w:ascii="Times New Roman" w:hAnsi="Times New Roman" w:cs="Times New Roman"/>
          <w:i/>
          <w:iCs/>
          <w:sz w:val="24"/>
          <w:szCs w:val="24"/>
        </w:rPr>
        <w:t>Sonchus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asper</w:t>
      </w:r>
      <w:r>
        <w:rPr>
          <w:rFonts w:ascii="Times New Roman" w:hAnsi="Times New Roman" w:cs="Times New Roman"/>
          <w:sz w:val="24"/>
          <w:szCs w:val="24"/>
        </w:rPr>
        <w:t>、荠</w:t>
      </w:r>
      <w:r>
        <w:rPr>
          <w:rFonts w:ascii="Times New Roman" w:hAnsi="Times New Roman" w:cs="Times New Roman"/>
          <w:i/>
          <w:iCs/>
          <w:sz w:val="24"/>
          <w:szCs w:val="24"/>
        </w:rPr>
        <w:t>Capsella</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bursa-pastoris</w:t>
      </w:r>
      <w:r>
        <w:rPr>
          <w:rFonts w:ascii="Times New Roman" w:hAnsi="Times New Roman" w:cs="Times New Roman"/>
          <w:sz w:val="24"/>
          <w:szCs w:val="24"/>
        </w:rPr>
        <w:t>、虎尾草</w:t>
      </w:r>
      <w:r>
        <w:rPr>
          <w:rFonts w:ascii="Times New Roman" w:hAnsi="Times New Roman" w:cs="Times New Roman"/>
          <w:i/>
          <w:iCs/>
          <w:sz w:val="24"/>
          <w:szCs w:val="24"/>
        </w:rPr>
        <w:t>Chloris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virgata</w:t>
      </w:r>
      <w:r>
        <w:rPr>
          <w:rFonts w:ascii="Times New Roman" w:hAnsi="Times New Roman" w:cs="Times New Roman"/>
          <w:sz w:val="24"/>
          <w:szCs w:val="24"/>
        </w:rPr>
        <w:t>、黑麦草</w:t>
      </w:r>
      <w:r>
        <w:rPr>
          <w:rFonts w:ascii="Times New Roman" w:hAnsi="Times New Roman" w:cs="Times New Roman"/>
          <w:i/>
          <w:iCs/>
          <w:sz w:val="24"/>
          <w:szCs w:val="24"/>
        </w:rPr>
        <w:t>Lolium</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perenne</w:t>
      </w:r>
      <w:r>
        <w:rPr>
          <w:rFonts w:ascii="Times New Roman" w:hAnsi="Times New Roman" w:cs="Times New Roman"/>
          <w:sz w:val="24"/>
          <w:szCs w:val="24"/>
        </w:rPr>
        <w:t>、多花黑麦草</w:t>
      </w:r>
      <w:r>
        <w:rPr>
          <w:rFonts w:ascii="Times New Roman" w:hAnsi="Times New Roman" w:cs="Times New Roman"/>
          <w:i/>
          <w:iCs/>
          <w:sz w:val="24"/>
          <w:szCs w:val="24"/>
        </w:rPr>
        <w:t>Lolium</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multiflorum</w:t>
      </w:r>
      <w:r>
        <w:rPr>
          <w:rFonts w:ascii="Times New Roman" w:hAnsi="Times New Roman" w:cs="Times New Roman"/>
          <w:sz w:val="24"/>
          <w:szCs w:val="24"/>
        </w:rPr>
        <w:t>、灰绿藜</w:t>
      </w:r>
      <w:r>
        <w:rPr>
          <w:rFonts w:ascii="Times New Roman" w:hAnsi="Times New Roman" w:cs="Times New Roman"/>
          <w:i/>
          <w:iCs/>
          <w:sz w:val="24"/>
          <w:szCs w:val="24"/>
        </w:rPr>
        <w:t>Oxybasis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glauca</w:t>
      </w:r>
      <w:r>
        <w:rPr>
          <w:rFonts w:ascii="Times New Roman" w:hAnsi="Times New Roman" w:cs="Times New Roman"/>
          <w:sz w:val="24"/>
          <w:szCs w:val="24"/>
        </w:rPr>
        <w:t>、紫苜蓿</w:t>
      </w:r>
      <w:r>
        <w:rPr>
          <w:rFonts w:ascii="Times New Roman" w:hAnsi="Times New Roman" w:cs="Times New Roman"/>
          <w:i/>
          <w:iCs/>
          <w:sz w:val="24"/>
          <w:szCs w:val="24"/>
        </w:rPr>
        <w:t>Medicago</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sativa</w:t>
      </w:r>
      <w:r>
        <w:rPr>
          <w:rFonts w:ascii="Times New Roman" w:hAnsi="Times New Roman" w:cs="Times New Roman"/>
          <w:sz w:val="24"/>
          <w:szCs w:val="24"/>
        </w:rPr>
        <w:t>、白花草木樨</w:t>
      </w:r>
      <w:r>
        <w:rPr>
          <w:rFonts w:ascii="Times New Roman" w:hAnsi="Times New Roman" w:cs="Times New Roman"/>
          <w:i/>
          <w:iCs/>
          <w:sz w:val="24"/>
          <w:szCs w:val="24"/>
        </w:rPr>
        <w:t>Melilotus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albus</w:t>
      </w:r>
      <w:r>
        <w:rPr>
          <w:rFonts w:ascii="Times New Roman" w:hAnsi="Times New Roman" w:cs="Times New Roman"/>
          <w:sz w:val="24"/>
          <w:szCs w:val="24"/>
        </w:rPr>
        <w:t>、草木樨</w:t>
      </w:r>
      <w:r>
        <w:rPr>
          <w:rFonts w:ascii="Times New Roman" w:hAnsi="Times New Roman" w:cs="Times New Roman"/>
          <w:i/>
          <w:iCs/>
          <w:sz w:val="24"/>
          <w:szCs w:val="24"/>
        </w:rPr>
        <w:t>Melilotus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officinalis</w:t>
      </w:r>
      <w:r>
        <w:rPr>
          <w:rFonts w:ascii="Times New Roman" w:hAnsi="Times New Roman" w:cs="Times New Roman"/>
          <w:sz w:val="24"/>
          <w:szCs w:val="24"/>
        </w:rPr>
        <w:t>、大麻</w:t>
      </w:r>
      <w:r>
        <w:rPr>
          <w:rFonts w:ascii="Times New Roman" w:hAnsi="Times New Roman" w:cs="Times New Roman"/>
          <w:i/>
          <w:iCs/>
          <w:sz w:val="24"/>
          <w:szCs w:val="24"/>
        </w:rPr>
        <w:t>Cannabis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sativa</w:t>
      </w:r>
      <w:r>
        <w:rPr>
          <w:rFonts w:ascii="Times New Roman" w:hAnsi="Times New Roman" w:cs="Times New Roman"/>
          <w:sz w:val="24"/>
          <w:szCs w:val="24"/>
        </w:rPr>
        <w:t>。两栖动物为牛蛙</w:t>
      </w:r>
      <w:r>
        <w:rPr>
          <w:rFonts w:ascii="Times New Roman" w:hAnsi="Times New Roman" w:cs="Times New Roman"/>
          <w:i/>
          <w:iCs/>
          <w:sz w:val="24"/>
          <w:szCs w:val="24"/>
        </w:rPr>
        <w:t>Lithobates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catesbeiana</w:t>
      </w:r>
      <w:r>
        <w:rPr>
          <w:rFonts w:ascii="Times New Roman" w:hAnsi="Times New Roman" w:cs="Times New Roman"/>
          <w:sz w:val="24"/>
          <w:szCs w:val="24"/>
        </w:rPr>
        <w:t>，蛙科，牛蛙属，属于2级严重入侵类。爬行动物为红耳龟</w:t>
      </w:r>
      <w:r>
        <w:rPr>
          <w:rFonts w:ascii="Times New Roman" w:hAnsi="Times New Roman" w:cs="Times New Roman"/>
          <w:i/>
          <w:iCs/>
          <w:sz w:val="24"/>
          <w:szCs w:val="24"/>
        </w:rPr>
        <w:t>Trachemys</w:t>
      </w:r>
      <w:r>
        <w:rPr>
          <w:rFonts w:hint="eastAsia" w:ascii="Times New Roman" w:hAnsi="Times New Roman" w:cs="Times New Roman"/>
          <w:i/>
          <w:iCs/>
          <w:sz w:val="24"/>
          <w:szCs w:val="24"/>
        </w:rPr>
        <w:t xml:space="preserve"> </w:t>
      </w:r>
      <w:r>
        <w:rPr>
          <w:rFonts w:ascii="Times New Roman" w:hAnsi="Times New Roman" w:cs="Times New Roman"/>
          <w:i/>
          <w:iCs/>
          <w:sz w:val="24"/>
          <w:szCs w:val="24"/>
        </w:rPr>
        <w:t>scripta</w:t>
      </w:r>
      <w:r>
        <w:rPr>
          <w:rFonts w:ascii="Times New Roman" w:hAnsi="Times New Roman" w:cs="Times New Roman"/>
          <w:sz w:val="24"/>
          <w:szCs w:val="24"/>
        </w:rPr>
        <w:t>，属于泽龟科、彩龟属、彩龟的一个亚种，为2级严重入侵类。</w:t>
      </w:r>
    </w:p>
    <w:p w14:paraId="2230CCDC">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表3-12昌都市各县（区）外来入侵物种分布情况统计表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4365"/>
        <w:gridCol w:w="2400"/>
        <w:gridCol w:w="797"/>
      </w:tblGrid>
      <w:tr w14:paraId="0C314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51688A06">
            <w:pPr>
              <w:jc w:val="center"/>
              <w:rPr>
                <w:rFonts w:ascii="Times New Roman" w:hAnsi="Times New Roman" w:cs="Times New Roman"/>
                <w:szCs w:val="21"/>
              </w:rPr>
            </w:pPr>
            <w:r>
              <w:rPr>
                <w:rFonts w:ascii="Times New Roman" w:hAnsi="Times New Roman" w:cs="Times New Roman"/>
                <w:szCs w:val="21"/>
              </w:rPr>
              <w:t>物种名称</w:t>
            </w:r>
          </w:p>
        </w:tc>
        <w:tc>
          <w:tcPr>
            <w:tcW w:w="4365" w:type="dxa"/>
            <w:vAlign w:val="center"/>
          </w:tcPr>
          <w:p w14:paraId="090CF3D2">
            <w:pPr>
              <w:jc w:val="center"/>
              <w:rPr>
                <w:rFonts w:ascii="Times New Roman" w:hAnsi="Times New Roman" w:cs="Times New Roman"/>
                <w:szCs w:val="21"/>
              </w:rPr>
            </w:pPr>
            <w:r>
              <w:rPr>
                <w:rFonts w:ascii="Times New Roman" w:hAnsi="Times New Roman" w:cs="Times New Roman"/>
                <w:szCs w:val="21"/>
              </w:rPr>
              <w:t>入侵区域</w:t>
            </w:r>
          </w:p>
        </w:tc>
        <w:tc>
          <w:tcPr>
            <w:tcW w:w="2400" w:type="dxa"/>
            <w:vAlign w:val="center"/>
          </w:tcPr>
          <w:p w14:paraId="0ACA51B1">
            <w:pPr>
              <w:jc w:val="center"/>
              <w:rPr>
                <w:rFonts w:ascii="Times New Roman" w:hAnsi="Times New Roman" w:cs="Times New Roman"/>
                <w:szCs w:val="21"/>
              </w:rPr>
            </w:pPr>
            <w:r>
              <w:rPr>
                <w:rFonts w:ascii="Times New Roman" w:hAnsi="Times New Roman" w:cs="Times New Roman"/>
                <w:szCs w:val="21"/>
              </w:rPr>
              <w:t>生活型</w:t>
            </w:r>
          </w:p>
        </w:tc>
        <w:tc>
          <w:tcPr>
            <w:tcW w:w="797" w:type="dxa"/>
            <w:vAlign w:val="center"/>
          </w:tcPr>
          <w:p w14:paraId="6AD8C3A2">
            <w:pPr>
              <w:jc w:val="center"/>
              <w:rPr>
                <w:rFonts w:ascii="Times New Roman" w:hAnsi="Times New Roman" w:cs="Times New Roman"/>
                <w:szCs w:val="21"/>
              </w:rPr>
            </w:pPr>
            <w:r>
              <w:rPr>
                <w:rFonts w:ascii="Times New Roman" w:hAnsi="Times New Roman" w:cs="Times New Roman"/>
                <w:szCs w:val="21"/>
              </w:rPr>
              <w:t>入侵等级</w:t>
            </w:r>
          </w:p>
        </w:tc>
      </w:tr>
      <w:tr w14:paraId="03164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20521C4">
            <w:pPr>
              <w:jc w:val="center"/>
              <w:rPr>
                <w:rFonts w:ascii="Times New Roman" w:hAnsi="Times New Roman" w:cs="Times New Roman"/>
                <w:szCs w:val="21"/>
              </w:rPr>
            </w:pPr>
            <w:r>
              <w:rPr>
                <w:rFonts w:ascii="Times New Roman" w:hAnsi="Times New Roman" w:eastAsia="宋体" w:cs="Times New Roman"/>
                <w:kern w:val="0"/>
                <w:szCs w:val="21"/>
              </w:rPr>
              <w:t>鬼针草</w:t>
            </w:r>
          </w:p>
        </w:tc>
        <w:tc>
          <w:tcPr>
            <w:tcW w:w="4365" w:type="dxa"/>
            <w:vAlign w:val="center"/>
          </w:tcPr>
          <w:p w14:paraId="15C24FC9">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芒康县</w:t>
            </w:r>
          </w:p>
        </w:tc>
        <w:tc>
          <w:tcPr>
            <w:tcW w:w="2400" w:type="dxa"/>
            <w:vAlign w:val="center"/>
          </w:tcPr>
          <w:p w14:paraId="52063254">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restart"/>
            <w:vAlign w:val="center"/>
          </w:tcPr>
          <w:p w14:paraId="6EAC67D6">
            <w:pPr>
              <w:jc w:val="center"/>
              <w:rPr>
                <w:rFonts w:ascii="Times New Roman" w:hAnsi="Times New Roman" w:cs="Times New Roman"/>
                <w:szCs w:val="21"/>
              </w:rPr>
            </w:pPr>
            <w:r>
              <w:rPr>
                <w:rFonts w:ascii="Times New Roman" w:hAnsi="Times New Roman" w:cs="Times New Roman"/>
                <w:szCs w:val="21"/>
              </w:rPr>
              <w:t>1级</w:t>
            </w:r>
          </w:p>
        </w:tc>
      </w:tr>
      <w:tr w14:paraId="1B3CD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408FCBB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小蓬草</w:t>
            </w:r>
          </w:p>
        </w:tc>
        <w:tc>
          <w:tcPr>
            <w:tcW w:w="4365" w:type="dxa"/>
            <w:vAlign w:val="center"/>
          </w:tcPr>
          <w:p w14:paraId="5E8F719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八宿县、察雅县、贡觉县、江达县、卡若区、芒康县、左贡县</w:t>
            </w:r>
          </w:p>
        </w:tc>
        <w:tc>
          <w:tcPr>
            <w:tcW w:w="2400" w:type="dxa"/>
            <w:vAlign w:val="center"/>
          </w:tcPr>
          <w:p w14:paraId="3B61BF5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53EF704F">
            <w:pPr>
              <w:jc w:val="center"/>
              <w:rPr>
                <w:rFonts w:ascii="Times New Roman" w:hAnsi="Times New Roman" w:cs="Times New Roman"/>
                <w:szCs w:val="21"/>
              </w:rPr>
            </w:pPr>
          </w:p>
        </w:tc>
      </w:tr>
      <w:tr w14:paraId="56BAD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6B549F60">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一年蓬</w:t>
            </w:r>
          </w:p>
        </w:tc>
        <w:tc>
          <w:tcPr>
            <w:tcW w:w="4365" w:type="dxa"/>
            <w:vAlign w:val="center"/>
          </w:tcPr>
          <w:p w14:paraId="40B532E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卡若区</w:t>
            </w:r>
          </w:p>
        </w:tc>
        <w:tc>
          <w:tcPr>
            <w:tcW w:w="2400" w:type="dxa"/>
            <w:vAlign w:val="center"/>
          </w:tcPr>
          <w:p w14:paraId="588A8016">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一年生或二年生草本</w:t>
            </w:r>
          </w:p>
        </w:tc>
        <w:tc>
          <w:tcPr>
            <w:tcW w:w="797" w:type="dxa"/>
            <w:vMerge w:val="continue"/>
            <w:vAlign w:val="center"/>
          </w:tcPr>
          <w:p w14:paraId="2C65B372">
            <w:pPr>
              <w:jc w:val="center"/>
              <w:rPr>
                <w:rFonts w:ascii="Times New Roman" w:hAnsi="Times New Roman" w:cs="Times New Roman"/>
                <w:szCs w:val="21"/>
              </w:rPr>
            </w:pPr>
          </w:p>
        </w:tc>
      </w:tr>
      <w:tr w14:paraId="6FFAE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645135F7">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苏门白酒草</w:t>
            </w:r>
          </w:p>
        </w:tc>
        <w:tc>
          <w:tcPr>
            <w:tcW w:w="4365" w:type="dxa"/>
            <w:vAlign w:val="center"/>
          </w:tcPr>
          <w:p w14:paraId="670E3104">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边坝县、左贡县</w:t>
            </w:r>
          </w:p>
        </w:tc>
        <w:tc>
          <w:tcPr>
            <w:tcW w:w="2400" w:type="dxa"/>
            <w:vAlign w:val="center"/>
          </w:tcPr>
          <w:p w14:paraId="45BDFD37">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一年生或二年生草本</w:t>
            </w:r>
          </w:p>
        </w:tc>
        <w:tc>
          <w:tcPr>
            <w:tcW w:w="797" w:type="dxa"/>
            <w:vMerge w:val="continue"/>
            <w:vAlign w:val="center"/>
          </w:tcPr>
          <w:p w14:paraId="69310E11">
            <w:pPr>
              <w:jc w:val="center"/>
              <w:rPr>
                <w:rFonts w:ascii="Times New Roman" w:hAnsi="Times New Roman" w:cs="Times New Roman"/>
                <w:szCs w:val="21"/>
              </w:rPr>
            </w:pPr>
          </w:p>
        </w:tc>
      </w:tr>
      <w:tr w14:paraId="73168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540BA5AC">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反枝苋</w:t>
            </w:r>
          </w:p>
        </w:tc>
        <w:tc>
          <w:tcPr>
            <w:tcW w:w="4365" w:type="dxa"/>
            <w:vAlign w:val="center"/>
          </w:tcPr>
          <w:p w14:paraId="68239EDA">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八宿县、察雅县、卡若区、芒康县</w:t>
            </w:r>
          </w:p>
        </w:tc>
        <w:tc>
          <w:tcPr>
            <w:tcW w:w="2400" w:type="dxa"/>
            <w:vAlign w:val="center"/>
          </w:tcPr>
          <w:p w14:paraId="3B1626E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55D30E41">
            <w:pPr>
              <w:jc w:val="center"/>
              <w:rPr>
                <w:rFonts w:ascii="Times New Roman" w:hAnsi="Times New Roman" w:cs="Times New Roman"/>
                <w:szCs w:val="21"/>
              </w:rPr>
            </w:pPr>
          </w:p>
        </w:tc>
      </w:tr>
      <w:tr w14:paraId="72197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6FFED43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土荆芥</w:t>
            </w:r>
          </w:p>
        </w:tc>
        <w:tc>
          <w:tcPr>
            <w:tcW w:w="4365" w:type="dxa"/>
            <w:vAlign w:val="center"/>
          </w:tcPr>
          <w:p w14:paraId="0CED44F6">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察雅县、卡若区</w:t>
            </w:r>
          </w:p>
        </w:tc>
        <w:tc>
          <w:tcPr>
            <w:tcW w:w="2400" w:type="dxa"/>
            <w:vAlign w:val="center"/>
          </w:tcPr>
          <w:p w14:paraId="463B06F8">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一年或多年生草本</w:t>
            </w:r>
          </w:p>
        </w:tc>
        <w:tc>
          <w:tcPr>
            <w:tcW w:w="797" w:type="dxa"/>
            <w:vMerge w:val="continue"/>
            <w:vAlign w:val="center"/>
          </w:tcPr>
          <w:p w14:paraId="5C79B9F3">
            <w:pPr>
              <w:jc w:val="center"/>
              <w:rPr>
                <w:rFonts w:ascii="Times New Roman" w:hAnsi="Times New Roman" w:cs="Times New Roman"/>
                <w:szCs w:val="21"/>
              </w:rPr>
            </w:pPr>
          </w:p>
        </w:tc>
      </w:tr>
      <w:tr w14:paraId="4AB7C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6AE59770">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牛蛙</w:t>
            </w:r>
          </w:p>
        </w:tc>
        <w:tc>
          <w:tcPr>
            <w:tcW w:w="4365" w:type="dxa"/>
            <w:vAlign w:val="center"/>
          </w:tcPr>
          <w:p w14:paraId="02C66218">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卡若区</w:t>
            </w:r>
          </w:p>
        </w:tc>
        <w:tc>
          <w:tcPr>
            <w:tcW w:w="2400" w:type="dxa"/>
            <w:vAlign w:val="center"/>
          </w:tcPr>
          <w:p w14:paraId="664241E6">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两栖动物</w:t>
            </w:r>
          </w:p>
        </w:tc>
        <w:tc>
          <w:tcPr>
            <w:tcW w:w="797" w:type="dxa"/>
            <w:vMerge w:val="restart"/>
            <w:vAlign w:val="center"/>
          </w:tcPr>
          <w:p w14:paraId="69845CDD">
            <w:pPr>
              <w:jc w:val="center"/>
              <w:rPr>
                <w:rFonts w:ascii="Times New Roman" w:hAnsi="Times New Roman" w:cs="Times New Roman"/>
                <w:szCs w:val="21"/>
              </w:rPr>
            </w:pPr>
            <w:r>
              <w:rPr>
                <w:rFonts w:ascii="Times New Roman" w:hAnsi="Times New Roman" w:cs="Times New Roman"/>
                <w:szCs w:val="21"/>
              </w:rPr>
              <w:t>2级</w:t>
            </w:r>
          </w:p>
        </w:tc>
      </w:tr>
      <w:tr w14:paraId="014BF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11B09AD1">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红耳龟</w:t>
            </w:r>
          </w:p>
        </w:tc>
        <w:tc>
          <w:tcPr>
            <w:tcW w:w="4365" w:type="dxa"/>
            <w:vAlign w:val="center"/>
          </w:tcPr>
          <w:p w14:paraId="1B2EC341">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卡若区</w:t>
            </w:r>
          </w:p>
        </w:tc>
        <w:tc>
          <w:tcPr>
            <w:tcW w:w="2400" w:type="dxa"/>
            <w:vAlign w:val="center"/>
          </w:tcPr>
          <w:p w14:paraId="575176F4">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爬行动物</w:t>
            </w:r>
          </w:p>
        </w:tc>
        <w:tc>
          <w:tcPr>
            <w:tcW w:w="797" w:type="dxa"/>
            <w:vMerge w:val="continue"/>
            <w:vAlign w:val="center"/>
          </w:tcPr>
          <w:p w14:paraId="3DC4E30A">
            <w:pPr>
              <w:jc w:val="center"/>
              <w:rPr>
                <w:rFonts w:ascii="Times New Roman" w:hAnsi="Times New Roman" w:cs="Times New Roman"/>
                <w:szCs w:val="21"/>
              </w:rPr>
            </w:pPr>
          </w:p>
        </w:tc>
      </w:tr>
      <w:tr w14:paraId="1E080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3149DA00">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野燕麦</w:t>
            </w:r>
          </w:p>
        </w:tc>
        <w:tc>
          <w:tcPr>
            <w:tcW w:w="4365" w:type="dxa"/>
            <w:vAlign w:val="center"/>
          </w:tcPr>
          <w:p w14:paraId="69CC4835">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八宿县、边坝县、丁青县、贡觉县、江达县、卡若区、类乌齐县、洛隆县</w:t>
            </w:r>
          </w:p>
        </w:tc>
        <w:tc>
          <w:tcPr>
            <w:tcW w:w="2400" w:type="dxa"/>
            <w:vAlign w:val="center"/>
          </w:tcPr>
          <w:p w14:paraId="49B78FE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5F79D506">
            <w:pPr>
              <w:jc w:val="center"/>
              <w:rPr>
                <w:rFonts w:ascii="Times New Roman" w:hAnsi="Times New Roman" w:cs="Times New Roman"/>
                <w:szCs w:val="21"/>
              </w:rPr>
            </w:pPr>
          </w:p>
        </w:tc>
      </w:tr>
      <w:tr w14:paraId="21617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18A3F87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刺花莲子草</w:t>
            </w:r>
          </w:p>
        </w:tc>
        <w:tc>
          <w:tcPr>
            <w:tcW w:w="4365" w:type="dxa"/>
            <w:vAlign w:val="center"/>
          </w:tcPr>
          <w:p w14:paraId="51E4A39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芒康县</w:t>
            </w:r>
          </w:p>
        </w:tc>
        <w:tc>
          <w:tcPr>
            <w:tcW w:w="2400" w:type="dxa"/>
            <w:vAlign w:val="center"/>
          </w:tcPr>
          <w:p w14:paraId="7B0CDFAC">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23452BC0">
            <w:pPr>
              <w:jc w:val="center"/>
              <w:rPr>
                <w:rFonts w:ascii="Times New Roman" w:hAnsi="Times New Roman" w:cs="Times New Roman"/>
                <w:szCs w:val="21"/>
              </w:rPr>
            </w:pPr>
          </w:p>
        </w:tc>
      </w:tr>
      <w:tr w14:paraId="6C8E4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56E7814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杂配藜</w:t>
            </w:r>
          </w:p>
        </w:tc>
        <w:tc>
          <w:tcPr>
            <w:tcW w:w="4365" w:type="dxa"/>
            <w:vAlign w:val="center"/>
          </w:tcPr>
          <w:p w14:paraId="700F9FF5">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八宿县、察雅县、江达县、卡若区</w:t>
            </w:r>
          </w:p>
        </w:tc>
        <w:tc>
          <w:tcPr>
            <w:tcW w:w="2400" w:type="dxa"/>
            <w:vAlign w:val="center"/>
          </w:tcPr>
          <w:p w14:paraId="25C7D557">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4DE8D7B9">
            <w:pPr>
              <w:jc w:val="center"/>
              <w:rPr>
                <w:rFonts w:ascii="Times New Roman" w:hAnsi="Times New Roman" w:cs="Times New Roman"/>
                <w:szCs w:val="21"/>
              </w:rPr>
            </w:pPr>
          </w:p>
        </w:tc>
      </w:tr>
      <w:tr w14:paraId="0FC37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2CD5DBE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曼陀罗</w:t>
            </w:r>
          </w:p>
        </w:tc>
        <w:tc>
          <w:tcPr>
            <w:tcW w:w="4365" w:type="dxa"/>
            <w:vAlign w:val="center"/>
          </w:tcPr>
          <w:p w14:paraId="3E9C299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八宿县、察雅县、丁青县、贡觉县、江达县、卡若区、洛隆县、芒康县、左贡县</w:t>
            </w:r>
          </w:p>
        </w:tc>
        <w:tc>
          <w:tcPr>
            <w:tcW w:w="2400" w:type="dxa"/>
            <w:vAlign w:val="center"/>
          </w:tcPr>
          <w:p w14:paraId="504D2AF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一年生热带草本</w:t>
            </w:r>
          </w:p>
        </w:tc>
        <w:tc>
          <w:tcPr>
            <w:tcW w:w="797" w:type="dxa"/>
            <w:vMerge w:val="continue"/>
            <w:vAlign w:val="center"/>
          </w:tcPr>
          <w:p w14:paraId="0A1D8AD4">
            <w:pPr>
              <w:jc w:val="center"/>
              <w:rPr>
                <w:rFonts w:ascii="Times New Roman" w:hAnsi="Times New Roman" w:cs="Times New Roman"/>
                <w:szCs w:val="21"/>
              </w:rPr>
            </w:pPr>
          </w:p>
        </w:tc>
      </w:tr>
      <w:tr w14:paraId="6AA5E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54EF229">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粗毛牛膝菊</w:t>
            </w:r>
          </w:p>
        </w:tc>
        <w:tc>
          <w:tcPr>
            <w:tcW w:w="4365" w:type="dxa"/>
            <w:vAlign w:val="center"/>
          </w:tcPr>
          <w:p w14:paraId="6658079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察雅县、类乌齐县、左贡县</w:t>
            </w:r>
          </w:p>
        </w:tc>
        <w:tc>
          <w:tcPr>
            <w:tcW w:w="2400" w:type="dxa"/>
            <w:vAlign w:val="center"/>
          </w:tcPr>
          <w:p w14:paraId="71C795C3">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28A94EEE">
            <w:pPr>
              <w:jc w:val="center"/>
              <w:rPr>
                <w:rFonts w:ascii="Times New Roman" w:hAnsi="Times New Roman" w:cs="Times New Roman"/>
                <w:szCs w:val="21"/>
              </w:rPr>
            </w:pPr>
          </w:p>
        </w:tc>
      </w:tr>
      <w:tr w14:paraId="5F7C9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69A418B5">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牛膝菊</w:t>
            </w:r>
          </w:p>
        </w:tc>
        <w:tc>
          <w:tcPr>
            <w:tcW w:w="4365" w:type="dxa"/>
            <w:vAlign w:val="center"/>
          </w:tcPr>
          <w:p w14:paraId="7A95D326">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八宿县、边坝县、贡觉县、卡若区、芒康县、左贡县</w:t>
            </w:r>
          </w:p>
        </w:tc>
        <w:tc>
          <w:tcPr>
            <w:tcW w:w="2400" w:type="dxa"/>
            <w:vAlign w:val="center"/>
          </w:tcPr>
          <w:p w14:paraId="0103831C">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continue"/>
            <w:vAlign w:val="center"/>
          </w:tcPr>
          <w:p w14:paraId="779A42F6">
            <w:pPr>
              <w:jc w:val="center"/>
              <w:rPr>
                <w:rFonts w:ascii="Times New Roman" w:hAnsi="Times New Roman" w:cs="Times New Roman"/>
                <w:szCs w:val="21"/>
              </w:rPr>
            </w:pPr>
          </w:p>
        </w:tc>
      </w:tr>
      <w:tr w14:paraId="5B88B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76EDA501">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假酸浆</w:t>
            </w:r>
          </w:p>
        </w:tc>
        <w:tc>
          <w:tcPr>
            <w:tcW w:w="4365" w:type="dxa"/>
            <w:vAlign w:val="center"/>
          </w:tcPr>
          <w:p w14:paraId="5A95EC8E">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卡若区、芒康县</w:t>
            </w:r>
          </w:p>
        </w:tc>
        <w:tc>
          <w:tcPr>
            <w:tcW w:w="2400" w:type="dxa"/>
            <w:vAlign w:val="center"/>
          </w:tcPr>
          <w:p w14:paraId="6667499C">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一年生直立草本</w:t>
            </w:r>
          </w:p>
        </w:tc>
        <w:tc>
          <w:tcPr>
            <w:tcW w:w="797" w:type="dxa"/>
            <w:vAlign w:val="center"/>
          </w:tcPr>
          <w:p w14:paraId="358725BF">
            <w:pPr>
              <w:jc w:val="center"/>
              <w:rPr>
                <w:rFonts w:ascii="Times New Roman" w:hAnsi="Times New Roman" w:cs="Times New Roman"/>
                <w:szCs w:val="21"/>
              </w:rPr>
            </w:pPr>
            <w:r>
              <w:rPr>
                <w:rFonts w:ascii="Times New Roman" w:hAnsi="Times New Roman" w:cs="Times New Roman"/>
                <w:szCs w:val="21"/>
              </w:rPr>
              <w:t>3级</w:t>
            </w:r>
          </w:p>
        </w:tc>
      </w:tr>
      <w:tr w14:paraId="63575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3B7C271D">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欧洲千里光</w:t>
            </w:r>
          </w:p>
        </w:tc>
        <w:tc>
          <w:tcPr>
            <w:tcW w:w="4365" w:type="dxa"/>
            <w:vAlign w:val="center"/>
          </w:tcPr>
          <w:p w14:paraId="7DBFF40F">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边坝县、丁青县、贡觉县、江达县、卡若区、类乌齐县、芒康县</w:t>
            </w:r>
          </w:p>
        </w:tc>
        <w:tc>
          <w:tcPr>
            <w:tcW w:w="2400" w:type="dxa"/>
            <w:vAlign w:val="center"/>
          </w:tcPr>
          <w:p w14:paraId="4A4C67B0">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一年生草本</w:t>
            </w:r>
          </w:p>
        </w:tc>
        <w:tc>
          <w:tcPr>
            <w:tcW w:w="797" w:type="dxa"/>
            <w:vMerge w:val="restart"/>
            <w:vAlign w:val="center"/>
          </w:tcPr>
          <w:p w14:paraId="1285D6FE">
            <w:pPr>
              <w:jc w:val="center"/>
              <w:rPr>
                <w:rFonts w:ascii="Times New Roman" w:hAnsi="Times New Roman" w:cs="Times New Roman"/>
                <w:szCs w:val="21"/>
              </w:rPr>
            </w:pPr>
            <w:r>
              <w:rPr>
                <w:rFonts w:ascii="Times New Roman" w:hAnsi="Times New Roman" w:cs="Times New Roman"/>
                <w:szCs w:val="21"/>
              </w:rPr>
              <w:t>4级</w:t>
            </w:r>
          </w:p>
        </w:tc>
      </w:tr>
      <w:tr w14:paraId="28BD1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7DA71F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苦苣菜</w:t>
            </w:r>
          </w:p>
        </w:tc>
        <w:tc>
          <w:tcPr>
            <w:tcW w:w="4365" w:type="dxa"/>
            <w:vAlign w:val="center"/>
          </w:tcPr>
          <w:p w14:paraId="5009858A">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八宿县、边坝县、察雅县、丁青县、贡觉县、江达县、卡若区、类乌齐县、洛隆县、芒康县</w:t>
            </w:r>
          </w:p>
        </w:tc>
        <w:tc>
          <w:tcPr>
            <w:tcW w:w="2400" w:type="dxa"/>
            <w:vAlign w:val="center"/>
          </w:tcPr>
          <w:p w14:paraId="04838EA7">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一年生或二年生草本</w:t>
            </w:r>
          </w:p>
        </w:tc>
        <w:tc>
          <w:tcPr>
            <w:tcW w:w="797" w:type="dxa"/>
            <w:vMerge w:val="continue"/>
            <w:vAlign w:val="center"/>
          </w:tcPr>
          <w:p w14:paraId="0B45CD5B">
            <w:pPr>
              <w:jc w:val="center"/>
              <w:rPr>
                <w:rFonts w:ascii="Times New Roman" w:hAnsi="Times New Roman" w:cs="Times New Roman"/>
                <w:szCs w:val="21"/>
              </w:rPr>
            </w:pPr>
          </w:p>
        </w:tc>
      </w:tr>
      <w:tr w14:paraId="4930E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4A532F62">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续断菊</w:t>
            </w:r>
          </w:p>
        </w:tc>
        <w:tc>
          <w:tcPr>
            <w:tcW w:w="4365" w:type="dxa"/>
            <w:vAlign w:val="center"/>
          </w:tcPr>
          <w:p w14:paraId="0FB428C3">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八宿县、边坝县、洛隆县、卡若区</w:t>
            </w:r>
          </w:p>
        </w:tc>
        <w:tc>
          <w:tcPr>
            <w:tcW w:w="2400" w:type="dxa"/>
            <w:vAlign w:val="center"/>
          </w:tcPr>
          <w:p w14:paraId="283E058E">
            <w:pPr>
              <w:widowControl/>
              <w:jc w:val="center"/>
              <w:textAlignment w:val="center"/>
              <w:rPr>
                <w:rFonts w:ascii="Times New Roman" w:hAnsi="Times New Roman" w:cs="Times New Roman"/>
                <w:szCs w:val="21"/>
              </w:rPr>
            </w:pPr>
            <w:r>
              <w:rPr>
                <w:rFonts w:ascii="Times New Roman" w:hAnsi="Times New Roman" w:eastAsia="宋体" w:cs="Times New Roman"/>
                <w:kern w:val="0"/>
                <w:szCs w:val="21"/>
              </w:rPr>
              <w:t>二年生草本</w:t>
            </w:r>
          </w:p>
        </w:tc>
        <w:tc>
          <w:tcPr>
            <w:tcW w:w="797" w:type="dxa"/>
            <w:vMerge w:val="continue"/>
            <w:vAlign w:val="center"/>
          </w:tcPr>
          <w:p w14:paraId="57AC0A68">
            <w:pPr>
              <w:jc w:val="center"/>
              <w:rPr>
                <w:rFonts w:ascii="Times New Roman" w:hAnsi="Times New Roman" w:cs="Times New Roman"/>
                <w:szCs w:val="21"/>
              </w:rPr>
            </w:pPr>
          </w:p>
        </w:tc>
      </w:tr>
      <w:tr w14:paraId="6FEBE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52B4702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荠</w:t>
            </w:r>
          </w:p>
        </w:tc>
        <w:tc>
          <w:tcPr>
            <w:tcW w:w="4365" w:type="dxa"/>
            <w:vAlign w:val="center"/>
          </w:tcPr>
          <w:p w14:paraId="7972C6B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八宿县、边坝县、察雅县、丁青县、江达县、卡若区、类乌齐县、洛隆县、芒康县、左贡县</w:t>
            </w:r>
          </w:p>
        </w:tc>
        <w:tc>
          <w:tcPr>
            <w:tcW w:w="2400" w:type="dxa"/>
            <w:vAlign w:val="center"/>
          </w:tcPr>
          <w:p w14:paraId="0FFA430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一年或多年生草本</w:t>
            </w:r>
          </w:p>
        </w:tc>
        <w:tc>
          <w:tcPr>
            <w:tcW w:w="797" w:type="dxa"/>
            <w:vMerge w:val="continue"/>
            <w:vAlign w:val="center"/>
          </w:tcPr>
          <w:p w14:paraId="359F7A96">
            <w:pPr>
              <w:jc w:val="center"/>
              <w:rPr>
                <w:rFonts w:ascii="Times New Roman" w:hAnsi="Times New Roman" w:cs="Times New Roman"/>
                <w:szCs w:val="21"/>
              </w:rPr>
            </w:pPr>
          </w:p>
        </w:tc>
      </w:tr>
      <w:tr w14:paraId="09832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38687DB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虎尾草</w:t>
            </w:r>
          </w:p>
        </w:tc>
        <w:tc>
          <w:tcPr>
            <w:tcW w:w="4365" w:type="dxa"/>
            <w:vAlign w:val="center"/>
          </w:tcPr>
          <w:p w14:paraId="1DB6F45F">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察雅县、芒康县</w:t>
            </w:r>
          </w:p>
        </w:tc>
        <w:tc>
          <w:tcPr>
            <w:tcW w:w="2400" w:type="dxa"/>
            <w:vAlign w:val="center"/>
          </w:tcPr>
          <w:p w14:paraId="323AFE20">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0D362418">
            <w:pPr>
              <w:jc w:val="center"/>
              <w:rPr>
                <w:rFonts w:ascii="Times New Roman" w:hAnsi="Times New Roman" w:cs="Times New Roman"/>
                <w:szCs w:val="21"/>
              </w:rPr>
            </w:pPr>
          </w:p>
        </w:tc>
      </w:tr>
      <w:tr w14:paraId="42552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0C066EAE">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黑麦草</w:t>
            </w:r>
          </w:p>
        </w:tc>
        <w:tc>
          <w:tcPr>
            <w:tcW w:w="4365" w:type="dxa"/>
            <w:vAlign w:val="center"/>
          </w:tcPr>
          <w:p w14:paraId="532FCEA1">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边坝县、卡若区、左贡县</w:t>
            </w:r>
          </w:p>
        </w:tc>
        <w:tc>
          <w:tcPr>
            <w:tcW w:w="2400" w:type="dxa"/>
            <w:vAlign w:val="center"/>
          </w:tcPr>
          <w:p w14:paraId="0F046A8E">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多年生草本</w:t>
            </w:r>
          </w:p>
        </w:tc>
        <w:tc>
          <w:tcPr>
            <w:tcW w:w="797" w:type="dxa"/>
            <w:vMerge w:val="continue"/>
            <w:vAlign w:val="center"/>
          </w:tcPr>
          <w:p w14:paraId="422ADE80">
            <w:pPr>
              <w:jc w:val="center"/>
              <w:rPr>
                <w:rFonts w:ascii="Times New Roman" w:hAnsi="Times New Roman" w:cs="Times New Roman"/>
                <w:szCs w:val="21"/>
              </w:rPr>
            </w:pPr>
          </w:p>
        </w:tc>
      </w:tr>
      <w:tr w14:paraId="411C3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2B0258A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多花黑麦草</w:t>
            </w:r>
          </w:p>
        </w:tc>
        <w:tc>
          <w:tcPr>
            <w:tcW w:w="4365" w:type="dxa"/>
            <w:vAlign w:val="center"/>
          </w:tcPr>
          <w:p w14:paraId="0D8FA038">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丁青县、贡觉县</w:t>
            </w:r>
          </w:p>
        </w:tc>
        <w:tc>
          <w:tcPr>
            <w:tcW w:w="2400" w:type="dxa"/>
            <w:vAlign w:val="center"/>
          </w:tcPr>
          <w:p w14:paraId="13EA4A94">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6E14DE39">
            <w:pPr>
              <w:jc w:val="center"/>
              <w:rPr>
                <w:rFonts w:ascii="Times New Roman" w:hAnsi="Times New Roman" w:cs="Times New Roman"/>
                <w:szCs w:val="21"/>
              </w:rPr>
            </w:pPr>
          </w:p>
        </w:tc>
      </w:tr>
      <w:tr w14:paraId="2B888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3424BDCC">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灰绿藜</w:t>
            </w:r>
          </w:p>
        </w:tc>
        <w:tc>
          <w:tcPr>
            <w:tcW w:w="4365" w:type="dxa"/>
            <w:vAlign w:val="center"/>
          </w:tcPr>
          <w:p w14:paraId="2194DD89">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丁青县、卡若区、洛隆县</w:t>
            </w:r>
          </w:p>
        </w:tc>
        <w:tc>
          <w:tcPr>
            <w:tcW w:w="2400" w:type="dxa"/>
            <w:vAlign w:val="center"/>
          </w:tcPr>
          <w:p w14:paraId="19C81482">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一年生草本</w:t>
            </w:r>
          </w:p>
        </w:tc>
        <w:tc>
          <w:tcPr>
            <w:tcW w:w="797" w:type="dxa"/>
            <w:vMerge w:val="continue"/>
            <w:vAlign w:val="center"/>
          </w:tcPr>
          <w:p w14:paraId="65C13E60">
            <w:pPr>
              <w:jc w:val="center"/>
              <w:rPr>
                <w:rFonts w:ascii="Times New Roman" w:hAnsi="Times New Roman" w:cs="Times New Roman"/>
                <w:szCs w:val="21"/>
              </w:rPr>
            </w:pPr>
          </w:p>
        </w:tc>
      </w:tr>
      <w:tr w14:paraId="4202D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22F2BC38">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紫苜蓿</w:t>
            </w:r>
          </w:p>
        </w:tc>
        <w:tc>
          <w:tcPr>
            <w:tcW w:w="4365" w:type="dxa"/>
            <w:vAlign w:val="center"/>
          </w:tcPr>
          <w:p w14:paraId="05BB94FB">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八宿县、边坝县、丁青县、贡觉县、江达县、卡若区、洛隆县、芒康县、左贡县</w:t>
            </w:r>
          </w:p>
        </w:tc>
        <w:tc>
          <w:tcPr>
            <w:tcW w:w="2400" w:type="dxa"/>
            <w:vAlign w:val="center"/>
          </w:tcPr>
          <w:p w14:paraId="0EA9FBF3">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多年生草本</w:t>
            </w:r>
          </w:p>
        </w:tc>
        <w:tc>
          <w:tcPr>
            <w:tcW w:w="797" w:type="dxa"/>
            <w:vMerge w:val="continue"/>
            <w:vAlign w:val="center"/>
          </w:tcPr>
          <w:p w14:paraId="535CBCE0">
            <w:pPr>
              <w:jc w:val="center"/>
              <w:rPr>
                <w:rFonts w:ascii="Times New Roman" w:hAnsi="Times New Roman" w:cs="Times New Roman"/>
                <w:szCs w:val="21"/>
              </w:rPr>
            </w:pPr>
          </w:p>
        </w:tc>
      </w:tr>
      <w:tr w14:paraId="39D92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1E61096B">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白花草木樨</w:t>
            </w:r>
          </w:p>
        </w:tc>
        <w:tc>
          <w:tcPr>
            <w:tcW w:w="4365" w:type="dxa"/>
            <w:vAlign w:val="center"/>
          </w:tcPr>
          <w:p w14:paraId="77D28C3B">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芒康县、左贡县、八宿县、边坝县、贡觉县、江达县、卡若区</w:t>
            </w:r>
          </w:p>
        </w:tc>
        <w:tc>
          <w:tcPr>
            <w:tcW w:w="2400" w:type="dxa"/>
            <w:vAlign w:val="center"/>
          </w:tcPr>
          <w:p w14:paraId="20994CF2">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一年生或二年生草本</w:t>
            </w:r>
          </w:p>
        </w:tc>
        <w:tc>
          <w:tcPr>
            <w:tcW w:w="797" w:type="dxa"/>
            <w:vMerge w:val="continue"/>
            <w:vAlign w:val="center"/>
          </w:tcPr>
          <w:p w14:paraId="4E3A2009">
            <w:pPr>
              <w:jc w:val="center"/>
              <w:rPr>
                <w:rFonts w:ascii="Times New Roman" w:hAnsi="Times New Roman" w:cs="Times New Roman"/>
                <w:szCs w:val="21"/>
              </w:rPr>
            </w:pPr>
          </w:p>
        </w:tc>
      </w:tr>
      <w:tr w14:paraId="43081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vAlign w:val="center"/>
          </w:tcPr>
          <w:p w14:paraId="59484FCD">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草木樨</w:t>
            </w:r>
          </w:p>
        </w:tc>
        <w:tc>
          <w:tcPr>
            <w:tcW w:w="4365" w:type="dxa"/>
            <w:vAlign w:val="center"/>
          </w:tcPr>
          <w:p w14:paraId="3C7DE2DA">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江达县、卡若区、类乌齐县、芒康县、八宿县、边坝县、丁青县、贡觉县、洛隆县、左贡县</w:t>
            </w:r>
          </w:p>
        </w:tc>
        <w:tc>
          <w:tcPr>
            <w:tcW w:w="2400" w:type="dxa"/>
            <w:vAlign w:val="center"/>
          </w:tcPr>
          <w:p w14:paraId="55EFFCFC">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二年生草本</w:t>
            </w:r>
          </w:p>
        </w:tc>
        <w:tc>
          <w:tcPr>
            <w:tcW w:w="797" w:type="dxa"/>
            <w:vMerge w:val="continue"/>
            <w:vAlign w:val="center"/>
          </w:tcPr>
          <w:p w14:paraId="0959B312">
            <w:pPr>
              <w:jc w:val="center"/>
              <w:rPr>
                <w:rFonts w:ascii="Times New Roman" w:hAnsi="Times New Roman" w:cs="Times New Roman"/>
                <w:szCs w:val="21"/>
              </w:rPr>
            </w:pPr>
          </w:p>
        </w:tc>
      </w:tr>
      <w:tr w14:paraId="267B7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5" w:type="dxa"/>
            <w:vAlign w:val="center"/>
          </w:tcPr>
          <w:p w14:paraId="241D8A64">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大麻</w:t>
            </w:r>
          </w:p>
        </w:tc>
        <w:tc>
          <w:tcPr>
            <w:tcW w:w="4365" w:type="dxa"/>
            <w:vAlign w:val="center"/>
          </w:tcPr>
          <w:p w14:paraId="151617BE">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丁青县</w:t>
            </w:r>
          </w:p>
        </w:tc>
        <w:tc>
          <w:tcPr>
            <w:tcW w:w="2400" w:type="dxa"/>
            <w:vAlign w:val="center"/>
          </w:tcPr>
          <w:p w14:paraId="0932DD85">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一年生直立草木</w:t>
            </w:r>
          </w:p>
        </w:tc>
        <w:tc>
          <w:tcPr>
            <w:tcW w:w="797" w:type="dxa"/>
            <w:vMerge w:val="continue"/>
            <w:vAlign w:val="center"/>
          </w:tcPr>
          <w:p w14:paraId="04973FD0">
            <w:pPr>
              <w:jc w:val="center"/>
              <w:rPr>
                <w:rFonts w:ascii="Times New Roman" w:hAnsi="Times New Roman" w:cs="Times New Roman"/>
                <w:szCs w:val="21"/>
              </w:rPr>
            </w:pPr>
          </w:p>
        </w:tc>
      </w:tr>
    </w:tbl>
    <w:p w14:paraId="5DDBF516"/>
    <w:p w14:paraId="3E14C7CC">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38" w:name="_Toc14624"/>
      <w:r>
        <w:rPr>
          <w:rStyle w:val="28"/>
          <w:rFonts w:hint="default" w:ascii="Times New Roman"/>
          <w:color w:val="auto"/>
          <w:kern w:val="2"/>
          <w:sz w:val="32"/>
          <w:szCs w:val="32"/>
          <w:u w:val="none"/>
        </w:rPr>
        <w:t>草原资源管理现状</w:t>
      </w:r>
      <w:bookmarkEnd w:id="38"/>
    </w:p>
    <w:p w14:paraId="3CD2CF8D">
      <w:pPr>
        <w:pStyle w:val="4"/>
        <w:numPr>
          <w:ilvl w:val="2"/>
          <w:numId w:val="2"/>
        </w:numPr>
        <w:spacing w:before="120" w:after="120" w:line="360" w:lineRule="auto"/>
        <w:rPr>
          <w:rStyle w:val="28"/>
          <w:color w:val="auto"/>
          <w:sz w:val="28"/>
          <w:szCs w:val="28"/>
          <w:u w:val="none"/>
        </w:rPr>
      </w:pPr>
      <w:bookmarkStart w:id="39" w:name="_Toc8166"/>
      <w:r>
        <w:rPr>
          <w:rStyle w:val="28"/>
          <w:rFonts w:hint="eastAsia"/>
          <w:color w:val="auto"/>
          <w:sz w:val="28"/>
          <w:szCs w:val="28"/>
          <w:u w:val="none"/>
        </w:rPr>
        <w:t>草原保护现状</w:t>
      </w:r>
      <w:bookmarkEnd w:id="39"/>
    </w:p>
    <w:p w14:paraId="12F04CE7">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基本草原划定优化情况</w:t>
      </w:r>
    </w:p>
    <w:p w14:paraId="536D706A">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草原综合监测数据，昌都市基本草原面积为4045320.03公顷，占全市草地面积的79.44%，主要集中在丁青县、江达县、八宿县、左贡县，面积分别为721605.58公顷、619852.45公顷、494162.92公顷、407650.73公顷，分别占昌都市基本草原面积的17.84%、15.32%、12.22%、10.08%。</w:t>
      </w:r>
    </w:p>
    <w:p w14:paraId="436DE578">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按基本草原类型，</w:t>
      </w:r>
      <w:r>
        <w:rPr>
          <w:rFonts w:hint="eastAsia" w:ascii="Times New Roman" w:hAnsi="Times New Roman" w:cs="Times New Roman"/>
          <w:color w:val="0000FF"/>
          <w:sz w:val="24"/>
          <w:szCs w:val="24"/>
        </w:rPr>
        <w:t>昌都市</w:t>
      </w:r>
      <w:r>
        <w:rPr>
          <w:rFonts w:ascii="Times New Roman" w:hAnsi="Times New Roman" w:cs="Times New Roman"/>
          <w:sz w:val="24"/>
          <w:szCs w:val="24"/>
        </w:rPr>
        <w:t>共划定四种基本草原类型，以“重要放牧地”、“对调节气候、涵养水源、保持水土、防风固沙具有特殊作用的草原”和“作为国家重点保护野生动植物生存环境的草原”为主，分别为2577280.42公顷、1384583.72公顷和82538.15公顷，占全市基本草原的63.71%、34.23%和2.04%。此外，“用于畜牧业生产的人工草地、退耕还草地以及改良草地、草种基地”面积为477.47公顷，占全市基本草原的0.01%；“割草地”面积为440.27公顷，占全市基本草原的0.01%。</w:t>
      </w:r>
    </w:p>
    <w:p w14:paraId="03183F2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表3-13昌都市各县（区）基本草原类型面积统计表</w:t>
      </w:r>
    </w:p>
    <w:tbl>
      <w:tblPr>
        <w:tblStyle w:val="24"/>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966"/>
        <w:gridCol w:w="1128"/>
        <w:gridCol w:w="1417"/>
        <w:gridCol w:w="992"/>
        <w:gridCol w:w="710"/>
        <w:gridCol w:w="981"/>
        <w:gridCol w:w="966"/>
        <w:gridCol w:w="591"/>
      </w:tblGrid>
      <w:tr w14:paraId="56E50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vMerge w:val="restart"/>
            <w:shd w:val="clear" w:color="auto" w:fill="auto"/>
            <w:noWrap/>
            <w:vAlign w:val="center"/>
          </w:tcPr>
          <w:p w14:paraId="66ED8B9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县（区）</w:t>
            </w:r>
          </w:p>
        </w:tc>
        <w:tc>
          <w:tcPr>
            <w:tcW w:w="6194" w:type="dxa"/>
            <w:gridSpan w:val="6"/>
            <w:shd w:val="clear" w:color="auto" w:fill="auto"/>
            <w:noWrap/>
            <w:vAlign w:val="center"/>
          </w:tcPr>
          <w:p w14:paraId="24673F9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基本草原（公顷）</w:t>
            </w:r>
          </w:p>
        </w:tc>
        <w:tc>
          <w:tcPr>
            <w:tcW w:w="966" w:type="dxa"/>
            <w:vMerge w:val="restart"/>
            <w:shd w:val="clear" w:color="auto" w:fill="auto"/>
            <w:noWrap/>
            <w:vAlign w:val="center"/>
          </w:tcPr>
          <w:p w14:paraId="34FE4AD8">
            <w:pPr>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草地面积</w:t>
            </w:r>
          </w:p>
        </w:tc>
        <w:tc>
          <w:tcPr>
            <w:tcW w:w="591" w:type="dxa"/>
            <w:vMerge w:val="restart"/>
            <w:shd w:val="clear" w:color="auto" w:fill="auto"/>
            <w:noWrap/>
            <w:vAlign w:val="center"/>
          </w:tcPr>
          <w:p w14:paraId="76D34638">
            <w:pPr>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占比</w:t>
            </w:r>
          </w:p>
        </w:tc>
      </w:tr>
      <w:tr w14:paraId="01E79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416" w:type="dxa"/>
            <w:vMerge w:val="continue"/>
            <w:vAlign w:val="center"/>
          </w:tcPr>
          <w:p w14:paraId="11F401F2">
            <w:pPr>
              <w:widowControl/>
              <w:jc w:val="center"/>
              <w:rPr>
                <w:rFonts w:ascii="Times New Roman" w:hAnsi="Times New Roman" w:eastAsia="宋体" w:cs="Times New Roman"/>
                <w:kern w:val="0"/>
                <w:sz w:val="15"/>
                <w:szCs w:val="15"/>
              </w:rPr>
            </w:pPr>
          </w:p>
        </w:tc>
        <w:tc>
          <w:tcPr>
            <w:tcW w:w="966" w:type="dxa"/>
            <w:shd w:val="clear" w:color="auto" w:fill="auto"/>
            <w:noWrap/>
            <w:vAlign w:val="center"/>
          </w:tcPr>
          <w:p w14:paraId="0B045F5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重要放牧场</w:t>
            </w:r>
          </w:p>
        </w:tc>
        <w:tc>
          <w:tcPr>
            <w:tcW w:w="1128" w:type="dxa"/>
            <w:shd w:val="clear" w:color="auto" w:fill="auto"/>
            <w:vAlign w:val="center"/>
          </w:tcPr>
          <w:p w14:paraId="185A6C5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用于畜牧业生产的人工草地、退耕还草地以及改良草地、草种基地</w:t>
            </w:r>
          </w:p>
        </w:tc>
        <w:tc>
          <w:tcPr>
            <w:tcW w:w="1417" w:type="dxa"/>
            <w:shd w:val="clear" w:color="auto" w:fill="auto"/>
            <w:vAlign w:val="center"/>
          </w:tcPr>
          <w:p w14:paraId="3230C7C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对调节气候、涵养水源、保持水土、防风固沙具有特殊作用的草原</w:t>
            </w:r>
          </w:p>
        </w:tc>
        <w:tc>
          <w:tcPr>
            <w:tcW w:w="992" w:type="dxa"/>
            <w:shd w:val="clear" w:color="auto" w:fill="auto"/>
            <w:vAlign w:val="center"/>
          </w:tcPr>
          <w:p w14:paraId="4C9C561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作为国家和自治区重点保护野生动植物生存环境的草原</w:t>
            </w:r>
          </w:p>
        </w:tc>
        <w:tc>
          <w:tcPr>
            <w:tcW w:w="710" w:type="dxa"/>
            <w:shd w:val="clear" w:color="auto" w:fill="auto"/>
            <w:noWrap/>
            <w:vAlign w:val="center"/>
          </w:tcPr>
          <w:p w14:paraId="6A204D4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割草地</w:t>
            </w:r>
          </w:p>
        </w:tc>
        <w:tc>
          <w:tcPr>
            <w:tcW w:w="981" w:type="dxa"/>
            <w:shd w:val="clear" w:color="auto" w:fill="auto"/>
            <w:vAlign w:val="center"/>
          </w:tcPr>
          <w:p w14:paraId="5C7AAC1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合计</w:t>
            </w:r>
          </w:p>
        </w:tc>
        <w:tc>
          <w:tcPr>
            <w:tcW w:w="966" w:type="dxa"/>
            <w:vMerge w:val="continue"/>
            <w:shd w:val="clear" w:color="auto" w:fill="auto"/>
            <w:noWrap/>
            <w:vAlign w:val="center"/>
          </w:tcPr>
          <w:p w14:paraId="668D3B23">
            <w:pPr>
              <w:widowControl/>
              <w:jc w:val="center"/>
              <w:rPr>
                <w:rFonts w:ascii="Times New Roman" w:hAnsi="Times New Roman" w:eastAsia="宋体" w:cs="Times New Roman"/>
                <w:kern w:val="0"/>
                <w:sz w:val="15"/>
                <w:szCs w:val="15"/>
              </w:rPr>
            </w:pPr>
          </w:p>
        </w:tc>
        <w:tc>
          <w:tcPr>
            <w:tcW w:w="591" w:type="dxa"/>
            <w:vMerge w:val="continue"/>
            <w:shd w:val="clear" w:color="auto" w:fill="auto"/>
            <w:noWrap/>
            <w:vAlign w:val="center"/>
          </w:tcPr>
          <w:p w14:paraId="394E60BE">
            <w:pPr>
              <w:widowControl/>
              <w:jc w:val="center"/>
              <w:rPr>
                <w:rFonts w:ascii="Times New Roman" w:hAnsi="Times New Roman" w:eastAsia="宋体" w:cs="Times New Roman"/>
                <w:kern w:val="0"/>
                <w:sz w:val="15"/>
                <w:szCs w:val="15"/>
              </w:rPr>
            </w:pPr>
          </w:p>
        </w:tc>
      </w:tr>
      <w:tr w14:paraId="4541E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A978E7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八宿县</w:t>
            </w:r>
          </w:p>
        </w:tc>
        <w:tc>
          <w:tcPr>
            <w:tcW w:w="966" w:type="dxa"/>
            <w:shd w:val="clear" w:color="auto" w:fill="auto"/>
            <w:noWrap/>
            <w:vAlign w:val="center"/>
          </w:tcPr>
          <w:p w14:paraId="66CDC42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273253.37</w:t>
            </w:r>
          </w:p>
        </w:tc>
        <w:tc>
          <w:tcPr>
            <w:tcW w:w="1128" w:type="dxa"/>
            <w:shd w:val="clear" w:color="auto" w:fill="auto"/>
            <w:noWrap/>
            <w:vAlign w:val="center"/>
          </w:tcPr>
          <w:p w14:paraId="1D14E191">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18.93</w:t>
            </w:r>
          </w:p>
        </w:tc>
        <w:tc>
          <w:tcPr>
            <w:tcW w:w="1417" w:type="dxa"/>
            <w:shd w:val="clear" w:color="auto" w:fill="auto"/>
            <w:noWrap/>
            <w:vAlign w:val="center"/>
          </w:tcPr>
          <w:p w14:paraId="64A45F9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220890.62</w:t>
            </w:r>
          </w:p>
        </w:tc>
        <w:tc>
          <w:tcPr>
            <w:tcW w:w="992" w:type="dxa"/>
            <w:shd w:val="clear" w:color="auto" w:fill="auto"/>
            <w:noWrap/>
            <w:vAlign w:val="center"/>
          </w:tcPr>
          <w:p w14:paraId="76F72593">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53E2477F">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0AA3DCA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494162.92</w:t>
            </w:r>
          </w:p>
        </w:tc>
        <w:tc>
          <w:tcPr>
            <w:tcW w:w="966" w:type="dxa"/>
            <w:shd w:val="clear" w:color="auto" w:fill="auto"/>
            <w:noWrap/>
            <w:vAlign w:val="center"/>
          </w:tcPr>
          <w:p w14:paraId="55C4C20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638717.34</w:t>
            </w:r>
          </w:p>
        </w:tc>
        <w:tc>
          <w:tcPr>
            <w:tcW w:w="591" w:type="dxa"/>
            <w:shd w:val="clear" w:color="auto" w:fill="auto"/>
            <w:noWrap/>
            <w:vAlign w:val="center"/>
          </w:tcPr>
          <w:p w14:paraId="57322CA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77.37</w:t>
            </w:r>
          </w:p>
        </w:tc>
      </w:tr>
      <w:tr w14:paraId="13903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3B9E716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边坝县</w:t>
            </w:r>
          </w:p>
        </w:tc>
        <w:tc>
          <w:tcPr>
            <w:tcW w:w="966" w:type="dxa"/>
            <w:shd w:val="clear" w:color="auto" w:fill="auto"/>
            <w:noWrap/>
            <w:vAlign w:val="center"/>
          </w:tcPr>
          <w:p w14:paraId="43A5896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66024.17</w:t>
            </w:r>
          </w:p>
        </w:tc>
        <w:tc>
          <w:tcPr>
            <w:tcW w:w="1128" w:type="dxa"/>
            <w:shd w:val="clear" w:color="auto" w:fill="auto"/>
            <w:noWrap/>
            <w:vAlign w:val="center"/>
          </w:tcPr>
          <w:p w14:paraId="4456A499">
            <w:pPr>
              <w:widowControl/>
              <w:jc w:val="center"/>
              <w:rPr>
                <w:rFonts w:ascii="Times New Roman" w:hAnsi="Times New Roman" w:eastAsia="宋体" w:cs="Times New Roman"/>
                <w:kern w:val="0"/>
                <w:sz w:val="15"/>
                <w:szCs w:val="15"/>
              </w:rPr>
            </w:pPr>
          </w:p>
        </w:tc>
        <w:tc>
          <w:tcPr>
            <w:tcW w:w="1417" w:type="dxa"/>
            <w:shd w:val="clear" w:color="auto" w:fill="auto"/>
            <w:noWrap/>
            <w:vAlign w:val="center"/>
          </w:tcPr>
          <w:p w14:paraId="66A57E0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278716.79</w:t>
            </w:r>
          </w:p>
        </w:tc>
        <w:tc>
          <w:tcPr>
            <w:tcW w:w="992" w:type="dxa"/>
            <w:shd w:val="clear" w:color="auto" w:fill="auto"/>
            <w:noWrap/>
            <w:vAlign w:val="center"/>
          </w:tcPr>
          <w:p w14:paraId="502D4664">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155D93E2">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3DC8740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344740.96</w:t>
            </w:r>
          </w:p>
        </w:tc>
        <w:tc>
          <w:tcPr>
            <w:tcW w:w="966" w:type="dxa"/>
            <w:shd w:val="clear" w:color="auto" w:fill="auto"/>
            <w:noWrap/>
            <w:vAlign w:val="center"/>
          </w:tcPr>
          <w:p w14:paraId="1D80A41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419159.02</w:t>
            </w:r>
          </w:p>
        </w:tc>
        <w:tc>
          <w:tcPr>
            <w:tcW w:w="591" w:type="dxa"/>
            <w:shd w:val="clear" w:color="auto" w:fill="auto"/>
            <w:noWrap/>
            <w:vAlign w:val="center"/>
          </w:tcPr>
          <w:p w14:paraId="340F57B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82.25</w:t>
            </w:r>
          </w:p>
        </w:tc>
      </w:tr>
      <w:tr w14:paraId="24834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1C239C5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察雅县</w:t>
            </w:r>
          </w:p>
        </w:tc>
        <w:tc>
          <w:tcPr>
            <w:tcW w:w="966" w:type="dxa"/>
            <w:shd w:val="clear" w:color="auto" w:fill="auto"/>
            <w:noWrap/>
            <w:vAlign w:val="center"/>
          </w:tcPr>
          <w:p w14:paraId="7C0E0B6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203213.95</w:t>
            </w:r>
          </w:p>
        </w:tc>
        <w:tc>
          <w:tcPr>
            <w:tcW w:w="1128" w:type="dxa"/>
            <w:shd w:val="clear" w:color="auto" w:fill="auto"/>
            <w:noWrap/>
            <w:vAlign w:val="center"/>
          </w:tcPr>
          <w:p w14:paraId="4BA71B3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70.29</w:t>
            </w:r>
          </w:p>
        </w:tc>
        <w:tc>
          <w:tcPr>
            <w:tcW w:w="1417" w:type="dxa"/>
            <w:shd w:val="clear" w:color="auto" w:fill="auto"/>
            <w:noWrap/>
            <w:vAlign w:val="center"/>
          </w:tcPr>
          <w:p w14:paraId="7716F20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129081.84</w:t>
            </w:r>
          </w:p>
        </w:tc>
        <w:tc>
          <w:tcPr>
            <w:tcW w:w="992" w:type="dxa"/>
            <w:shd w:val="clear" w:color="auto" w:fill="auto"/>
            <w:noWrap/>
            <w:vAlign w:val="center"/>
          </w:tcPr>
          <w:p w14:paraId="04160266">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420C2A11">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029EDF9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332366.08</w:t>
            </w:r>
          </w:p>
        </w:tc>
        <w:tc>
          <w:tcPr>
            <w:tcW w:w="966" w:type="dxa"/>
            <w:shd w:val="clear" w:color="auto" w:fill="auto"/>
            <w:noWrap/>
            <w:vAlign w:val="center"/>
          </w:tcPr>
          <w:p w14:paraId="587312E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438186.67</w:t>
            </w:r>
          </w:p>
        </w:tc>
        <w:tc>
          <w:tcPr>
            <w:tcW w:w="591" w:type="dxa"/>
            <w:shd w:val="clear" w:color="auto" w:fill="auto"/>
            <w:noWrap/>
            <w:vAlign w:val="center"/>
          </w:tcPr>
          <w:p w14:paraId="4CADE90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75.85</w:t>
            </w:r>
          </w:p>
        </w:tc>
      </w:tr>
      <w:tr w14:paraId="69F8A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3FF1CA2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丁青县</w:t>
            </w:r>
          </w:p>
        </w:tc>
        <w:tc>
          <w:tcPr>
            <w:tcW w:w="966" w:type="dxa"/>
            <w:shd w:val="clear" w:color="auto" w:fill="auto"/>
            <w:noWrap/>
            <w:vAlign w:val="center"/>
          </w:tcPr>
          <w:p w14:paraId="563D545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434649.16</w:t>
            </w:r>
          </w:p>
        </w:tc>
        <w:tc>
          <w:tcPr>
            <w:tcW w:w="1128" w:type="dxa"/>
            <w:shd w:val="clear" w:color="auto" w:fill="auto"/>
            <w:noWrap/>
            <w:vAlign w:val="center"/>
          </w:tcPr>
          <w:p w14:paraId="7E2BE86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2.72</w:t>
            </w:r>
          </w:p>
        </w:tc>
        <w:tc>
          <w:tcPr>
            <w:tcW w:w="1417" w:type="dxa"/>
            <w:shd w:val="clear" w:color="auto" w:fill="auto"/>
            <w:noWrap/>
            <w:vAlign w:val="center"/>
          </w:tcPr>
          <w:p w14:paraId="31B8FC0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286953.70</w:t>
            </w:r>
          </w:p>
        </w:tc>
        <w:tc>
          <w:tcPr>
            <w:tcW w:w="992" w:type="dxa"/>
            <w:shd w:val="clear" w:color="auto" w:fill="auto"/>
            <w:noWrap/>
            <w:vAlign w:val="center"/>
          </w:tcPr>
          <w:p w14:paraId="4E94FEFB">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3069B0F3">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316E591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721605.58</w:t>
            </w:r>
          </w:p>
        </w:tc>
        <w:tc>
          <w:tcPr>
            <w:tcW w:w="966" w:type="dxa"/>
            <w:shd w:val="clear" w:color="auto" w:fill="auto"/>
            <w:noWrap/>
            <w:vAlign w:val="center"/>
          </w:tcPr>
          <w:p w14:paraId="476E50F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861547.35</w:t>
            </w:r>
          </w:p>
        </w:tc>
        <w:tc>
          <w:tcPr>
            <w:tcW w:w="591" w:type="dxa"/>
            <w:shd w:val="clear" w:color="auto" w:fill="auto"/>
            <w:noWrap/>
            <w:vAlign w:val="center"/>
          </w:tcPr>
          <w:p w14:paraId="73814D8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83.76</w:t>
            </w:r>
          </w:p>
        </w:tc>
      </w:tr>
      <w:tr w14:paraId="427AC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3243E46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贡觉县</w:t>
            </w:r>
          </w:p>
        </w:tc>
        <w:tc>
          <w:tcPr>
            <w:tcW w:w="966" w:type="dxa"/>
            <w:shd w:val="clear" w:color="auto" w:fill="auto"/>
            <w:noWrap/>
            <w:vAlign w:val="center"/>
          </w:tcPr>
          <w:p w14:paraId="004C084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169661.75</w:t>
            </w:r>
          </w:p>
        </w:tc>
        <w:tc>
          <w:tcPr>
            <w:tcW w:w="1128" w:type="dxa"/>
            <w:shd w:val="clear" w:color="auto" w:fill="auto"/>
            <w:noWrap/>
            <w:vAlign w:val="center"/>
          </w:tcPr>
          <w:p w14:paraId="68C1FAB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1.79</w:t>
            </w:r>
          </w:p>
        </w:tc>
        <w:tc>
          <w:tcPr>
            <w:tcW w:w="1417" w:type="dxa"/>
            <w:shd w:val="clear" w:color="auto" w:fill="auto"/>
            <w:noWrap/>
            <w:vAlign w:val="center"/>
          </w:tcPr>
          <w:p w14:paraId="7F1F9EA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48627.75</w:t>
            </w:r>
          </w:p>
        </w:tc>
        <w:tc>
          <w:tcPr>
            <w:tcW w:w="992" w:type="dxa"/>
            <w:shd w:val="clear" w:color="auto" w:fill="auto"/>
            <w:noWrap/>
            <w:vAlign w:val="center"/>
          </w:tcPr>
          <w:p w14:paraId="25F270FD">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527DE5D1">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32DD4CB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218291.30</w:t>
            </w:r>
          </w:p>
        </w:tc>
        <w:tc>
          <w:tcPr>
            <w:tcW w:w="966" w:type="dxa"/>
            <w:shd w:val="clear" w:color="auto" w:fill="auto"/>
            <w:noWrap/>
            <w:vAlign w:val="center"/>
          </w:tcPr>
          <w:p w14:paraId="4C3A65D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299088.39</w:t>
            </w:r>
          </w:p>
        </w:tc>
        <w:tc>
          <w:tcPr>
            <w:tcW w:w="591" w:type="dxa"/>
            <w:shd w:val="clear" w:color="auto" w:fill="auto"/>
            <w:noWrap/>
            <w:vAlign w:val="center"/>
          </w:tcPr>
          <w:p w14:paraId="20226F0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72.99</w:t>
            </w:r>
          </w:p>
        </w:tc>
      </w:tr>
      <w:tr w14:paraId="03DDC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037AC32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江达县</w:t>
            </w:r>
          </w:p>
        </w:tc>
        <w:tc>
          <w:tcPr>
            <w:tcW w:w="966" w:type="dxa"/>
            <w:shd w:val="clear" w:color="auto" w:fill="auto"/>
            <w:noWrap/>
            <w:vAlign w:val="center"/>
          </w:tcPr>
          <w:p w14:paraId="0B4C6F3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441218.82</w:t>
            </w:r>
          </w:p>
        </w:tc>
        <w:tc>
          <w:tcPr>
            <w:tcW w:w="1128" w:type="dxa"/>
            <w:shd w:val="clear" w:color="auto" w:fill="auto"/>
            <w:noWrap/>
            <w:vAlign w:val="center"/>
          </w:tcPr>
          <w:p w14:paraId="609B81E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36.74</w:t>
            </w:r>
          </w:p>
        </w:tc>
        <w:tc>
          <w:tcPr>
            <w:tcW w:w="1417" w:type="dxa"/>
            <w:shd w:val="clear" w:color="auto" w:fill="auto"/>
            <w:noWrap/>
            <w:vAlign w:val="center"/>
          </w:tcPr>
          <w:p w14:paraId="339639F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178596.89</w:t>
            </w:r>
          </w:p>
        </w:tc>
        <w:tc>
          <w:tcPr>
            <w:tcW w:w="992" w:type="dxa"/>
            <w:shd w:val="clear" w:color="auto" w:fill="auto"/>
            <w:noWrap/>
            <w:vAlign w:val="center"/>
          </w:tcPr>
          <w:p w14:paraId="239046A1">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63E24C9A">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0558FFA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619852.45</w:t>
            </w:r>
          </w:p>
        </w:tc>
        <w:tc>
          <w:tcPr>
            <w:tcW w:w="966" w:type="dxa"/>
            <w:shd w:val="clear" w:color="auto" w:fill="auto"/>
            <w:noWrap/>
            <w:vAlign w:val="center"/>
          </w:tcPr>
          <w:p w14:paraId="4AE740E1">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749697.61</w:t>
            </w:r>
          </w:p>
        </w:tc>
        <w:tc>
          <w:tcPr>
            <w:tcW w:w="591" w:type="dxa"/>
            <w:shd w:val="clear" w:color="auto" w:fill="auto"/>
            <w:noWrap/>
            <w:vAlign w:val="center"/>
          </w:tcPr>
          <w:p w14:paraId="4F5ABE2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82.68</w:t>
            </w:r>
          </w:p>
        </w:tc>
      </w:tr>
      <w:tr w14:paraId="116B5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A39543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卡若区</w:t>
            </w:r>
          </w:p>
        </w:tc>
        <w:tc>
          <w:tcPr>
            <w:tcW w:w="966" w:type="dxa"/>
            <w:shd w:val="clear" w:color="auto" w:fill="auto"/>
            <w:noWrap/>
            <w:vAlign w:val="center"/>
          </w:tcPr>
          <w:p w14:paraId="22FF4E8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214201.18</w:t>
            </w:r>
          </w:p>
        </w:tc>
        <w:tc>
          <w:tcPr>
            <w:tcW w:w="1128" w:type="dxa"/>
            <w:shd w:val="clear" w:color="auto" w:fill="auto"/>
            <w:noWrap/>
            <w:vAlign w:val="center"/>
          </w:tcPr>
          <w:p w14:paraId="5609A0A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1.25</w:t>
            </w:r>
          </w:p>
        </w:tc>
        <w:tc>
          <w:tcPr>
            <w:tcW w:w="1417" w:type="dxa"/>
            <w:shd w:val="clear" w:color="auto" w:fill="auto"/>
            <w:noWrap/>
            <w:vAlign w:val="center"/>
          </w:tcPr>
          <w:p w14:paraId="059D4ED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32793.53</w:t>
            </w:r>
          </w:p>
        </w:tc>
        <w:tc>
          <w:tcPr>
            <w:tcW w:w="992" w:type="dxa"/>
            <w:shd w:val="clear" w:color="auto" w:fill="auto"/>
            <w:noWrap/>
            <w:vAlign w:val="center"/>
          </w:tcPr>
          <w:p w14:paraId="21A30B1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4857.98</w:t>
            </w:r>
          </w:p>
        </w:tc>
        <w:tc>
          <w:tcPr>
            <w:tcW w:w="710" w:type="dxa"/>
            <w:shd w:val="clear" w:color="auto" w:fill="auto"/>
            <w:noWrap/>
            <w:vAlign w:val="center"/>
          </w:tcPr>
          <w:p w14:paraId="263D0844">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6E02902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251853.95</w:t>
            </w:r>
          </w:p>
        </w:tc>
        <w:tc>
          <w:tcPr>
            <w:tcW w:w="966" w:type="dxa"/>
            <w:shd w:val="clear" w:color="auto" w:fill="auto"/>
            <w:noWrap/>
            <w:vAlign w:val="center"/>
          </w:tcPr>
          <w:p w14:paraId="41D0203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340612.85</w:t>
            </w:r>
          </w:p>
        </w:tc>
        <w:tc>
          <w:tcPr>
            <w:tcW w:w="591" w:type="dxa"/>
            <w:shd w:val="clear" w:color="auto" w:fill="auto"/>
            <w:noWrap/>
            <w:vAlign w:val="center"/>
          </w:tcPr>
          <w:p w14:paraId="209FBF76">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73.94</w:t>
            </w:r>
          </w:p>
        </w:tc>
      </w:tr>
      <w:tr w14:paraId="5842E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5F9A787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类乌齐县</w:t>
            </w:r>
          </w:p>
        </w:tc>
        <w:tc>
          <w:tcPr>
            <w:tcW w:w="966" w:type="dxa"/>
            <w:shd w:val="clear" w:color="auto" w:fill="auto"/>
            <w:noWrap/>
            <w:vAlign w:val="center"/>
          </w:tcPr>
          <w:p w14:paraId="30ACF81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162017.69</w:t>
            </w:r>
          </w:p>
        </w:tc>
        <w:tc>
          <w:tcPr>
            <w:tcW w:w="1128" w:type="dxa"/>
            <w:shd w:val="clear" w:color="auto" w:fill="auto"/>
            <w:noWrap/>
            <w:vAlign w:val="center"/>
          </w:tcPr>
          <w:p w14:paraId="33BC076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112.60</w:t>
            </w:r>
          </w:p>
        </w:tc>
        <w:tc>
          <w:tcPr>
            <w:tcW w:w="1417" w:type="dxa"/>
            <w:shd w:val="clear" w:color="auto" w:fill="auto"/>
            <w:noWrap/>
            <w:vAlign w:val="center"/>
          </w:tcPr>
          <w:p w14:paraId="6F23AD1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22346.95</w:t>
            </w:r>
          </w:p>
        </w:tc>
        <w:tc>
          <w:tcPr>
            <w:tcW w:w="992" w:type="dxa"/>
            <w:shd w:val="clear" w:color="auto" w:fill="auto"/>
            <w:noWrap/>
            <w:vAlign w:val="center"/>
          </w:tcPr>
          <w:p w14:paraId="710D7AD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63289.23</w:t>
            </w:r>
          </w:p>
        </w:tc>
        <w:tc>
          <w:tcPr>
            <w:tcW w:w="710" w:type="dxa"/>
            <w:shd w:val="clear" w:color="auto" w:fill="auto"/>
            <w:noWrap/>
            <w:vAlign w:val="center"/>
          </w:tcPr>
          <w:p w14:paraId="3A7DF74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440.27</w:t>
            </w:r>
          </w:p>
        </w:tc>
        <w:tc>
          <w:tcPr>
            <w:tcW w:w="981" w:type="dxa"/>
            <w:shd w:val="clear" w:color="auto" w:fill="auto"/>
            <w:noWrap/>
            <w:vAlign w:val="center"/>
          </w:tcPr>
          <w:p w14:paraId="0DDF3BE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248206.74</w:t>
            </w:r>
          </w:p>
        </w:tc>
        <w:tc>
          <w:tcPr>
            <w:tcW w:w="966" w:type="dxa"/>
            <w:shd w:val="clear" w:color="auto" w:fill="auto"/>
            <w:noWrap/>
            <w:vAlign w:val="center"/>
          </w:tcPr>
          <w:p w14:paraId="7BF491BB">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312351.70</w:t>
            </w:r>
          </w:p>
        </w:tc>
        <w:tc>
          <w:tcPr>
            <w:tcW w:w="591" w:type="dxa"/>
            <w:shd w:val="clear" w:color="auto" w:fill="auto"/>
            <w:noWrap/>
            <w:vAlign w:val="center"/>
          </w:tcPr>
          <w:p w14:paraId="6123D17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79.46</w:t>
            </w:r>
          </w:p>
        </w:tc>
      </w:tr>
      <w:tr w14:paraId="45253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687527D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洛隆县</w:t>
            </w:r>
          </w:p>
        </w:tc>
        <w:tc>
          <w:tcPr>
            <w:tcW w:w="966" w:type="dxa"/>
            <w:shd w:val="clear" w:color="auto" w:fill="auto"/>
            <w:noWrap/>
            <w:vAlign w:val="center"/>
          </w:tcPr>
          <w:p w14:paraId="140E91B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143379.88</w:t>
            </w:r>
          </w:p>
        </w:tc>
        <w:tc>
          <w:tcPr>
            <w:tcW w:w="1128" w:type="dxa"/>
            <w:shd w:val="clear" w:color="auto" w:fill="auto"/>
            <w:noWrap/>
            <w:vAlign w:val="center"/>
          </w:tcPr>
          <w:p w14:paraId="6116638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0.38</w:t>
            </w:r>
          </w:p>
        </w:tc>
        <w:tc>
          <w:tcPr>
            <w:tcW w:w="1417" w:type="dxa"/>
            <w:shd w:val="clear" w:color="auto" w:fill="auto"/>
            <w:noWrap/>
            <w:vAlign w:val="center"/>
          </w:tcPr>
          <w:p w14:paraId="7618B98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72540.31</w:t>
            </w:r>
          </w:p>
        </w:tc>
        <w:tc>
          <w:tcPr>
            <w:tcW w:w="992" w:type="dxa"/>
            <w:shd w:val="clear" w:color="auto" w:fill="auto"/>
            <w:noWrap/>
            <w:vAlign w:val="center"/>
          </w:tcPr>
          <w:p w14:paraId="5CB419DF">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1CA7FFF9">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42767EC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215920.58</w:t>
            </w:r>
          </w:p>
        </w:tc>
        <w:tc>
          <w:tcPr>
            <w:tcW w:w="966" w:type="dxa"/>
            <w:shd w:val="clear" w:color="auto" w:fill="auto"/>
            <w:noWrap/>
            <w:vAlign w:val="center"/>
          </w:tcPr>
          <w:p w14:paraId="085BD20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254846.28</w:t>
            </w:r>
          </w:p>
        </w:tc>
        <w:tc>
          <w:tcPr>
            <w:tcW w:w="591" w:type="dxa"/>
            <w:shd w:val="clear" w:color="auto" w:fill="auto"/>
            <w:noWrap/>
            <w:vAlign w:val="center"/>
          </w:tcPr>
          <w:p w14:paraId="69BB6D4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84.73</w:t>
            </w:r>
          </w:p>
        </w:tc>
      </w:tr>
      <w:tr w14:paraId="7E635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56192DE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芒康县</w:t>
            </w:r>
          </w:p>
        </w:tc>
        <w:tc>
          <w:tcPr>
            <w:tcW w:w="966" w:type="dxa"/>
            <w:shd w:val="clear" w:color="auto" w:fill="auto"/>
            <w:noWrap/>
            <w:vAlign w:val="center"/>
          </w:tcPr>
          <w:p w14:paraId="6975AAC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140733.71</w:t>
            </w:r>
          </w:p>
        </w:tc>
        <w:tc>
          <w:tcPr>
            <w:tcW w:w="1128" w:type="dxa"/>
            <w:shd w:val="clear" w:color="auto" w:fill="auto"/>
            <w:noWrap/>
            <w:vAlign w:val="center"/>
          </w:tcPr>
          <w:p w14:paraId="4017A33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229.36</w:t>
            </w:r>
          </w:p>
        </w:tc>
        <w:tc>
          <w:tcPr>
            <w:tcW w:w="1417" w:type="dxa"/>
            <w:shd w:val="clear" w:color="auto" w:fill="auto"/>
            <w:noWrap/>
            <w:vAlign w:val="center"/>
          </w:tcPr>
          <w:p w14:paraId="03168F6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35314.74</w:t>
            </w:r>
          </w:p>
        </w:tc>
        <w:tc>
          <w:tcPr>
            <w:tcW w:w="992" w:type="dxa"/>
            <w:shd w:val="clear" w:color="auto" w:fill="auto"/>
            <w:noWrap/>
            <w:vAlign w:val="center"/>
          </w:tcPr>
          <w:p w14:paraId="3262F02E">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14390.94</w:t>
            </w:r>
          </w:p>
        </w:tc>
        <w:tc>
          <w:tcPr>
            <w:tcW w:w="710" w:type="dxa"/>
            <w:shd w:val="clear" w:color="auto" w:fill="auto"/>
            <w:noWrap/>
            <w:vAlign w:val="center"/>
          </w:tcPr>
          <w:p w14:paraId="70EC82B4">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1CF0308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190668.75</w:t>
            </w:r>
          </w:p>
        </w:tc>
        <w:tc>
          <w:tcPr>
            <w:tcW w:w="966" w:type="dxa"/>
            <w:shd w:val="clear" w:color="auto" w:fill="auto"/>
            <w:noWrap/>
            <w:vAlign w:val="center"/>
          </w:tcPr>
          <w:p w14:paraId="20CE5CA4">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271966.93</w:t>
            </w:r>
          </w:p>
        </w:tc>
        <w:tc>
          <w:tcPr>
            <w:tcW w:w="591" w:type="dxa"/>
            <w:shd w:val="clear" w:color="auto" w:fill="auto"/>
            <w:noWrap/>
            <w:vAlign w:val="center"/>
          </w:tcPr>
          <w:p w14:paraId="2A0A935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70.11</w:t>
            </w:r>
          </w:p>
        </w:tc>
      </w:tr>
      <w:tr w14:paraId="1D29A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5421685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左贡县</w:t>
            </w:r>
          </w:p>
        </w:tc>
        <w:tc>
          <w:tcPr>
            <w:tcW w:w="966" w:type="dxa"/>
            <w:shd w:val="clear" w:color="auto" w:fill="auto"/>
            <w:noWrap/>
            <w:vAlign w:val="center"/>
          </w:tcPr>
          <w:p w14:paraId="77324361">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328926.72</w:t>
            </w:r>
          </w:p>
        </w:tc>
        <w:tc>
          <w:tcPr>
            <w:tcW w:w="1128" w:type="dxa"/>
            <w:shd w:val="clear" w:color="auto" w:fill="auto"/>
            <w:noWrap/>
            <w:vAlign w:val="center"/>
          </w:tcPr>
          <w:p w14:paraId="1F664B7F">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3.41</w:t>
            </w:r>
          </w:p>
        </w:tc>
        <w:tc>
          <w:tcPr>
            <w:tcW w:w="1417" w:type="dxa"/>
            <w:shd w:val="clear" w:color="auto" w:fill="auto"/>
            <w:noWrap/>
            <w:vAlign w:val="center"/>
          </w:tcPr>
          <w:p w14:paraId="4CB514D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78720.61</w:t>
            </w:r>
          </w:p>
        </w:tc>
        <w:tc>
          <w:tcPr>
            <w:tcW w:w="992" w:type="dxa"/>
            <w:shd w:val="clear" w:color="auto" w:fill="auto"/>
            <w:noWrap/>
            <w:vAlign w:val="center"/>
          </w:tcPr>
          <w:p w14:paraId="256E625E">
            <w:pPr>
              <w:widowControl/>
              <w:jc w:val="center"/>
              <w:rPr>
                <w:rFonts w:ascii="Times New Roman" w:hAnsi="Times New Roman" w:eastAsia="宋体" w:cs="Times New Roman"/>
                <w:kern w:val="0"/>
                <w:sz w:val="15"/>
                <w:szCs w:val="15"/>
              </w:rPr>
            </w:pPr>
          </w:p>
        </w:tc>
        <w:tc>
          <w:tcPr>
            <w:tcW w:w="710" w:type="dxa"/>
            <w:shd w:val="clear" w:color="auto" w:fill="auto"/>
            <w:noWrap/>
            <w:vAlign w:val="center"/>
          </w:tcPr>
          <w:p w14:paraId="54C5E2AD">
            <w:pPr>
              <w:widowControl/>
              <w:jc w:val="center"/>
              <w:rPr>
                <w:rFonts w:ascii="Times New Roman" w:hAnsi="Times New Roman" w:eastAsia="宋体" w:cs="Times New Roman"/>
                <w:kern w:val="0"/>
                <w:sz w:val="15"/>
                <w:szCs w:val="15"/>
              </w:rPr>
            </w:pPr>
          </w:p>
        </w:tc>
        <w:tc>
          <w:tcPr>
            <w:tcW w:w="981" w:type="dxa"/>
            <w:shd w:val="clear" w:color="auto" w:fill="auto"/>
            <w:noWrap/>
            <w:vAlign w:val="center"/>
          </w:tcPr>
          <w:p w14:paraId="2C8E10CC">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407650.73</w:t>
            </w:r>
          </w:p>
        </w:tc>
        <w:tc>
          <w:tcPr>
            <w:tcW w:w="966" w:type="dxa"/>
            <w:shd w:val="clear" w:color="auto" w:fill="auto"/>
            <w:noWrap/>
            <w:vAlign w:val="center"/>
          </w:tcPr>
          <w:p w14:paraId="66EACCA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506274.96</w:t>
            </w:r>
          </w:p>
        </w:tc>
        <w:tc>
          <w:tcPr>
            <w:tcW w:w="591" w:type="dxa"/>
            <w:shd w:val="clear" w:color="auto" w:fill="auto"/>
            <w:noWrap/>
            <w:vAlign w:val="center"/>
          </w:tcPr>
          <w:p w14:paraId="730D62E3">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80.52</w:t>
            </w:r>
          </w:p>
        </w:tc>
      </w:tr>
      <w:tr w14:paraId="40358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C11BBF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合计</w:t>
            </w:r>
          </w:p>
        </w:tc>
        <w:tc>
          <w:tcPr>
            <w:tcW w:w="966" w:type="dxa"/>
            <w:shd w:val="clear" w:color="auto" w:fill="auto"/>
            <w:noWrap/>
            <w:vAlign w:val="center"/>
          </w:tcPr>
          <w:p w14:paraId="3761433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2577280.42</w:t>
            </w:r>
          </w:p>
        </w:tc>
        <w:tc>
          <w:tcPr>
            <w:tcW w:w="1128" w:type="dxa"/>
            <w:shd w:val="clear" w:color="auto" w:fill="auto"/>
            <w:noWrap/>
            <w:vAlign w:val="center"/>
          </w:tcPr>
          <w:p w14:paraId="5502B0C5">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477.47</w:t>
            </w:r>
          </w:p>
        </w:tc>
        <w:tc>
          <w:tcPr>
            <w:tcW w:w="1417" w:type="dxa"/>
            <w:shd w:val="clear" w:color="auto" w:fill="auto"/>
            <w:noWrap/>
            <w:vAlign w:val="center"/>
          </w:tcPr>
          <w:p w14:paraId="3565D8D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1384583.72</w:t>
            </w:r>
          </w:p>
        </w:tc>
        <w:tc>
          <w:tcPr>
            <w:tcW w:w="992" w:type="dxa"/>
            <w:shd w:val="clear" w:color="auto" w:fill="auto"/>
            <w:noWrap/>
            <w:vAlign w:val="center"/>
          </w:tcPr>
          <w:p w14:paraId="12CB640A">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82538.15</w:t>
            </w:r>
          </w:p>
        </w:tc>
        <w:tc>
          <w:tcPr>
            <w:tcW w:w="710" w:type="dxa"/>
            <w:shd w:val="clear" w:color="auto" w:fill="auto"/>
            <w:noWrap/>
            <w:vAlign w:val="center"/>
          </w:tcPr>
          <w:p w14:paraId="1A90E34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440.27</w:t>
            </w:r>
          </w:p>
        </w:tc>
        <w:tc>
          <w:tcPr>
            <w:tcW w:w="981" w:type="dxa"/>
            <w:shd w:val="clear" w:color="auto" w:fill="auto"/>
            <w:noWrap/>
            <w:vAlign w:val="center"/>
          </w:tcPr>
          <w:p w14:paraId="2187053D">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4045320.03</w:t>
            </w:r>
          </w:p>
        </w:tc>
        <w:tc>
          <w:tcPr>
            <w:tcW w:w="966" w:type="dxa"/>
            <w:shd w:val="clear" w:color="auto" w:fill="auto"/>
            <w:noWrap/>
            <w:vAlign w:val="center"/>
          </w:tcPr>
          <w:p w14:paraId="2753706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5092449.10</w:t>
            </w:r>
          </w:p>
        </w:tc>
        <w:tc>
          <w:tcPr>
            <w:tcW w:w="591" w:type="dxa"/>
            <w:shd w:val="clear" w:color="auto" w:fill="auto"/>
            <w:noWrap/>
            <w:vAlign w:val="center"/>
          </w:tcPr>
          <w:p w14:paraId="242CB5C7">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79.44</w:t>
            </w:r>
          </w:p>
        </w:tc>
      </w:tr>
      <w:tr w14:paraId="0E3CA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16" w:type="dxa"/>
            <w:shd w:val="clear" w:color="auto" w:fill="auto"/>
            <w:noWrap/>
            <w:vAlign w:val="center"/>
          </w:tcPr>
          <w:p w14:paraId="71C507C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全市基本草原占比</w:t>
            </w:r>
          </w:p>
        </w:tc>
        <w:tc>
          <w:tcPr>
            <w:tcW w:w="966" w:type="dxa"/>
            <w:shd w:val="clear" w:color="auto" w:fill="auto"/>
            <w:noWrap/>
            <w:vAlign w:val="center"/>
          </w:tcPr>
          <w:p w14:paraId="549C87A8">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63.71</w:t>
            </w:r>
          </w:p>
        </w:tc>
        <w:tc>
          <w:tcPr>
            <w:tcW w:w="1128" w:type="dxa"/>
            <w:shd w:val="clear" w:color="auto" w:fill="auto"/>
            <w:noWrap/>
            <w:vAlign w:val="center"/>
          </w:tcPr>
          <w:p w14:paraId="67CB2AD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0.01</w:t>
            </w:r>
          </w:p>
        </w:tc>
        <w:tc>
          <w:tcPr>
            <w:tcW w:w="1417" w:type="dxa"/>
            <w:shd w:val="clear" w:color="auto" w:fill="auto"/>
            <w:noWrap/>
            <w:vAlign w:val="center"/>
          </w:tcPr>
          <w:p w14:paraId="29F3BC02">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34.23</w:t>
            </w:r>
          </w:p>
        </w:tc>
        <w:tc>
          <w:tcPr>
            <w:tcW w:w="992" w:type="dxa"/>
            <w:shd w:val="clear" w:color="auto" w:fill="auto"/>
            <w:noWrap/>
            <w:vAlign w:val="center"/>
          </w:tcPr>
          <w:p w14:paraId="2D4A3950">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2.04</w:t>
            </w:r>
          </w:p>
        </w:tc>
        <w:tc>
          <w:tcPr>
            <w:tcW w:w="710" w:type="dxa"/>
            <w:shd w:val="clear" w:color="auto" w:fill="auto"/>
            <w:noWrap/>
            <w:vAlign w:val="center"/>
          </w:tcPr>
          <w:p w14:paraId="490CD91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0.01</w:t>
            </w:r>
          </w:p>
        </w:tc>
        <w:tc>
          <w:tcPr>
            <w:tcW w:w="981" w:type="dxa"/>
            <w:shd w:val="clear" w:color="auto" w:fill="auto"/>
            <w:noWrap/>
            <w:vAlign w:val="center"/>
          </w:tcPr>
          <w:p w14:paraId="4837E379">
            <w:pPr>
              <w:widowControl/>
              <w:jc w:val="center"/>
              <w:rPr>
                <w:rFonts w:ascii="Times New Roman" w:hAnsi="Times New Roman" w:eastAsia="宋体" w:cs="Times New Roman"/>
                <w:kern w:val="0"/>
                <w:sz w:val="15"/>
                <w:szCs w:val="15"/>
              </w:rPr>
            </w:pPr>
            <w:r>
              <w:rPr>
                <w:rFonts w:ascii="Times New Roman" w:hAnsi="Times New Roman" w:eastAsia="宋体" w:cs="Times New Roman"/>
                <w:kern w:val="0"/>
                <w:sz w:val="15"/>
                <w:szCs w:val="15"/>
              </w:rPr>
              <w:t>100.00</w:t>
            </w:r>
          </w:p>
        </w:tc>
        <w:tc>
          <w:tcPr>
            <w:tcW w:w="966" w:type="dxa"/>
            <w:shd w:val="clear" w:color="auto" w:fill="auto"/>
            <w:noWrap/>
            <w:vAlign w:val="center"/>
          </w:tcPr>
          <w:p w14:paraId="6456DAC1">
            <w:pPr>
              <w:widowControl/>
              <w:jc w:val="center"/>
              <w:rPr>
                <w:rFonts w:ascii="Times New Roman" w:hAnsi="Times New Roman" w:eastAsia="宋体" w:cs="Times New Roman"/>
                <w:kern w:val="0"/>
                <w:sz w:val="15"/>
                <w:szCs w:val="15"/>
              </w:rPr>
            </w:pPr>
          </w:p>
        </w:tc>
        <w:tc>
          <w:tcPr>
            <w:tcW w:w="591" w:type="dxa"/>
            <w:shd w:val="clear" w:color="auto" w:fill="auto"/>
            <w:noWrap/>
            <w:vAlign w:val="center"/>
          </w:tcPr>
          <w:p w14:paraId="7E409C3F">
            <w:pPr>
              <w:widowControl/>
              <w:jc w:val="center"/>
              <w:rPr>
                <w:rFonts w:ascii="Times New Roman" w:hAnsi="Times New Roman" w:eastAsia="宋体" w:cs="Times New Roman"/>
                <w:kern w:val="0"/>
                <w:sz w:val="15"/>
                <w:szCs w:val="15"/>
              </w:rPr>
            </w:pPr>
          </w:p>
        </w:tc>
      </w:tr>
    </w:tbl>
    <w:p w14:paraId="561E6F6B">
      <w:pPr>
        <w:spacing w:line="360" w:lineRule="auto"/>
        <w:jc w:val="center"/>
      </w:pPr>
    </w:p>
    <w:p w14:paraId="650AB6BB">
      <w:pPr>
        <w:spacing w:line="360" w:lineRule="auto"/>
        <w:jc w:val="center"/>
        <w:rPr>
          <w:rFonts w:ascii="Times New Roman" w:hAnsi="Times New Roman" w:eastAsia="黑体" w:cs="Times New Roman"/>
          <w:sz w:val="24"/>
          <w:szCs w:val="21"/>
        </w:rPr>
      </w:pPr>
      <w:r>
        <w:drawing>
          <wp:inline distT="0" distB="0" distL="114300" distR="114300">
            <wp:extent cx="5680075" cy="3837940"/>
            <wp:effectExtent l="0" t="0" r="15875" b="1016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1" cstate="print"/>
                    <a:stretch>
                      <a:fillRect/>
                    </a:stretch>
                  </pic:blipFill>
                  <pic:spPr>
                    <a:xfrm>
                      <a:off x="0" y="0"/>
                      <a:ext cx="5680075" cy="3837940"/>
                    </a:xfrm>
                    <a:prstGeom prst="rect">
                      <a:avLst/>
                    </a:prstGeom>
                    <a:noFill/>
                    <a:ln>
                      <a:noFill/>
                    </a:ln>
                  </pic:spPr>
                </pic:pic>
              </a:graphicData>
            </a:graphic>
          </wp:inline>
        </w:drawing>
      </w:r>
    </w:p>
    <w:p w14:paraId="0E367AA9">
      <w:pPr>
        <w:jc w:val="center"/>
        <w:rPr>
          <w:rFonts w:eastAsia="黑体"/>
        </w:rPr>
      </w:pPr>
      <w:r>
        <w:rPr>
          <w:rFonts w:hint="eastAsia" w:ascii="Times New Roman" w:hAnsi="Times New Roman" w:eastAsia="黑体" w:cs="Times New Roman"/>
          <w:sz w:val="24"/>
          <w:szCs w:val="21"/>
        </w:rPr>
        <w:t>图3-8昌都市基本草原分布图</w:t>
      </w:r>
    </w:p>
    <w:p w14:paraId="04B039EE">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生态红线划定及自然保护地优化情况</w:t>
      </w:r>
    </w:p>
    <w:p w14:paraId="4A4EB9D8">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根据昌都市2024年草原综合监测数据，昌都市生态保护红线总面积3356373.94公顷，涉及草地面积1375743.45公顷，草地面积占生态保护红线面积比例为40.99%。自然保护地总面积</w:t>
      </w:r>
      <w:r>
        <w:rPr>
          <w:rFonts w:hint="eastAsia" w:ascii="Times New Roman" w:hAnsi="Times New Roman" w:cs="Times New Roman"/>
          <w:sz w:val="24"/>
          <w:szCs w:val="24"/>
        </w:rPr>
        <w:t>828233.51</w:t>
      </w:r>
      <w:r>
        <w:rPr>
          <w:rFonts w:ascii="Times New Roman" w:hAnsi="Times New Roman" w:cs="Times New Roman"/>
          <w:sz w:val="24"/>
          <w:szCs w:val="24"/>
        </w:rPr>
        <w:t>公顷，涉及草地面积</w:t>
      </w:r>
      <w:r>
        <w:rPr>
          <w:rFonts w:hint="eastAsia" w:ascii="Times New Roman" w:hAnsi="Times New Roman" w:cs="Times New Roman"/>
          <w:sz w:val="24"/>
          <w:szCs w:val="24"/>
        </w:rPr>
        <w:t>261209.92</w:t>
      </w:r>
      <w:r>
        <w:rPr>
          <w:rFonts w:ascii="Times New Roman" w:hAnsi="Times New Roman" w:cs="Times New Roman"/>
          <w:sz w:val="24"/>
          <w:szCs w:val="24"/>
        </w:rPr>
        <w:t>公顷，草地面积占自然保护地面积比例为</w:t>
      </w:r>
      <w:r>
        <w:rPr>
          <w:rFonts w:hint="eastAsia" w:ascii="Times New Roman" w:hAnsi="Times New Roman" w:cs="Times New Roman"/>
          <w:sz w:val="24"/>
          <w:szCs w:val="24"/>
        </w:rPr>
        <w:t>31.54</w:t>
      </w:r>
      <w:r>
        <w:rPr>
          <w:rFonts w:ascii="Times New Roman" w:hAnsi="Times New Roman" w:cs="Times New Roman"/>
          <w:sz w:val="24"/>
          <w:szCs w:val="24"/>
        </w:rPr>
        <w:t>%。</w:t>
      </w:r>
    </w:p>
    <w:p w14:paraId="6584507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生态保护红线内草原退化面积为894850.28公顷，以中度和轻度退化为主，其中，中度退化面积为394366.87公顷，占生态保护红线内草地面积的28.66%；轻度退化面积为390025.34公顷，占生态保护红线内草地面积的28.35%；重度退化面积为110458.07公顷，占生态保护红线内草地面积比例为8.03%。</w:t>
      </w:r>
    </w:p>
    <w:p w14:paraId="636854A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昌都市自然保护地草原退化面积为</w:t>
      </w:r>
      <w:r>
        <w:rPr>
          <w:rFonts w:hint="eastAsia" w:ascii="Times New Roman" w:hAnsi="Times New Roman" w:cs="Times New Roman"/>
          <w:sz w:val="24"/>
          <w:szCs w:val="24"/>
        </w:rPr>
        <w:t>261209.92</w:t>
      </w:r>
      <w:r>
        <w:rPr>
          <w:rFonts w:ascii="Times New Roman" w:hAnsi="Times New Roman" w:cs="Times New Roman"/>
          <w:sz w:val="24"/>
          <w:szCs w:val="24"/>
        </w:rPr>
        <w:t>公顷，以轻度退化和中度为主，其中，轻度退化面积为</w:t>
      </w:r>
      <w:r>
        <w:rPr>
          <w:rFonts w:hint="eastAsia" w:ascii="Times New Roman" w:hAnsi="Times New Roman" w:cs="Times New Roman"/>
          <w:sz w:val="24"/>
          <w:szCs w:val="24"/>
        </w:rPr>
        <w:t>81628.34</w:t>
      </w:r>
      <w:r>
        <w:rPr>
          <w:rFonts w:ascii="Times New Roman" w:hAnsi="Times New Roman" w:cs="Times New Roman"/>
          <w:sz w:val="24"/>
          <w:szCs w:val="24"/>
        </w:rPr>
        <w:t>公顷，占自然保护地内草地面积的9.</w:t>
      </w:r>
      <w:r>
        <w:rPr>
          <w:rFonts w:hint="eastAsia" w:ascii="Times New Roman" w:hAnsi="Times New Roman" w:cs="Times New Roman"/>
          <w:sz w:val="24"/>
          <w:szCs w:val="24"/>
        </w:rPr>
        <w:t>86</w:t>
      </w:r>
      <w:r>
        <w:rPr>
          <w:rFonts w:ascii="Times New Roman" w:hAnsi="Times New Roman" w:cs="Times New Roman"/>
          <w:sz w:val="24"/>
          <w:szCs w:val="24"/>
        </w:rPr>
        <w:t>%；中度退化面积为</w:t>
      </w:r>
      <w:r>
        <w:rPr>
          <w:rFonts w:hint="eastAsia" w:ascii="Times New Roman" w:hAnsi="Times New Roman" w:cs="Times New Roman"/>
          <w:sz w:val="24"/>
          <w:szCs w:val="24"/>
        </w:rPr>
        <w:t>65724.19</w:t>
      </w:r>
      <w:r>
        <w:rPr>
          <w:rFonts w:ascii="Times New Roman" w:hAnsi="Times New Roman" w:cs="Times New Roman"/>
          <w:sz w:val="24"/>
          <w:szCs w:val="24"/>
        </w:rPr>
        <w:t>公顷，占自然保护地内草地面积的</w:t>
      </w:r>
      <w:r>
        <w:rPr>
          <w:rFonts w:hint="eastAsia" w:ascii="Times New Roman" w:hAnsi="Times New Roman" w:cs="Times New Roman"/>
          <w:sz w:val="24"/>
          <w:szCs w:val="24"/>
        </w:rPr>
        <w:t>7.94</w:t>
      </w:r>
      <w:r>
        <w:rPr>
          <w:rFonts w:ascii="Times New Roman" w:hAnsi="Times New Roman" w:cs="Times New Roman"/>
          <w:sz w:val="24"/>
          <w:szCs w:val="24"/>
        </w:rPr>
        <w:t>%；重度退化面积为</w:t>
      </w:r>
      <w:r>
        <w:rPr>
          <w:rFonts w:hint="eastAsia" w:ascii="Times New Roman" w:hAnsi="Times New Roman" w:cs="Times New Roman"/>
          <w:sz w:val="24"/>
          <w:szCs w:val="24"/>
        </w:rPr>
        <w:t>3397.34</w:t>
      </w:r>
      <w:r>
        <w:rPr>
          <w:rFonts w:ascii="Times New Roman" w:hAnsi="Times New Roman" w:cs="Times New Roman"/>
          <w:sz w:val="24"/>
          <w:szCs w:val="24"/>
        </w:rPr>
        <w:t>公顷，占自然保护地内草地面积的0.</w:t>
      </w:r>
      <w:r>
        <w:rPr>
          <w:rFonts w:hint="eastAsia" w:ascii="Times New Roman" w:hAnsi="Times New Roman" w:cs="Times New Roman"/>
          <w:sz w:val="24"/>
          <w:szCs w:val="24"/>
        </w:rPr>
        <w:t>41</w:t>
      </w:r>
      <w:r>
        <w:rPr>
          <w:rFonts w:ascii="Times New Roman" w:hAnsi="Times New Roman" w:cs="Times New Roman"/>
          <w:sz w:val="24"/>
          <w:szCs w:val="24"/>
        </w:rPr>
        <w:t>%。</w:t>
      </w:r>
    </w:p>
    <w:p w14:paraId="542355F7">
      <w:pPr>
        <w:spacing w:line="360" w:lineRule="auto"/>
        <w:jc w:val="center"/>
      </w:pPr>
      <w:r>
        <w:drawing>
          <wp:inline distT="0" distB="0" distL="114300" distR="114300">
            <wp:extent cx="5275580" cy="3552190"/>
            <wp:effectExtent l="0" t="0" r="1270" b="10160"/>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22" cstate="print"/>
                    <a:stretch>
                      <a:fillRect/>
                    </a:stretch>
                  </pic:blipFill>
                  <pic:spPr>
                    <a:xfrm>
                      <a:off x="0" y="0"/>
                      <a:ext cx="5275580" cy="3552190"/>
                    </a:xfrm>
                    <a:prstGeom prst="rect">
                      <a:avLst/>
                    </a:prstGeom>
                    <a:noFill/>
                    <a:ln>
                      <a:noFill/>
                    </a:ln>
                  </pic:spPr>
                </pic:pic>
              </a:graphicData>
            </a:graphic>
          </wp:inline>
        </w:drawing>
      </w:r>
    </w:p>
    <w:p w14:paraId="363DE20F">
      <w:pPr>
        <w:spacing w:line="240" w:lineRule="exact"/>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图3-9昌都市生态红线分布图</w:t>
      </w:r>
    </w:p>
    <w:p w14:paraId="3656399B">
      <w:pPr>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drawing>
          <wp:inline distT="0" distB="0" distL="0" distR="0">
            <wp:extent cx="5283835" cy="3501390"/>
            <wp:effectExtent l="0" t="0" r="12065" b="38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23" cstate="print"/>
                    <a:srcRect/>
                    <a:stretch>
                      <a:fillRect/>
                    </a:stretch>
                  </pic:blipFill>
                  <pic:spPr>
                    <a:xfrm>
                      <a:off x="0" y="0"/>
                      <a:ext cx="5287995" cy="3503939"/>
                    </a:xfrm>
                    <a:prstGeom prst="rect">
                      <a:avLst/>
                    </a:prstGeom>
                    <a:noFill/>
                    <a:ln w="9525">
                      <a:noFill/>
                      <a:miter lim="800000"/>
                      <a:headEnd/>
                      <a:tailEnd/>
                    </a:ln>
                  </pic:spPr>
                </pic:pic>
              </a:graphicData>
            </a:graphic>
          </wp:inline>
        </w:drawing>
      </w:r>
    </w:p>
    <w:p w14:paraId="48BBB99B">
      <w:pPr>
        <w:jc w:val="center"/>
      </w:pPr>
      <w:r>
        <w:rPr>
          <w:rFonts w:hint="eastAsia" w:ascii="Times New Roman" w:hAnsi="Times New Roman" w:eastAsia="黑体" w:cs="Times New Roman"/>
          <w:sz w:val="24"/>
          <w:szCs w:val="21"/>
        </w:rPr>
        <w:t>图3-10   昌都市自然保护地分布图</w:t>
      </w:r>
    </w:p>
    <w:p w14:paraId="6522A569">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草原生态补助奖励实施情况</w:t>
      </w:r>
    </w:p>
    <w:p w14:paraId="3DBEF730">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根据《昌都市第三轮草原生态保护补助奖励政策实施情况总结报告》，草原生态补助奖励政策的实施情况如下：</w:t>
      </w:r>
    </w:p>
    <w:p w14:paraId="037D6701">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（1）主要内容：根据《西藏自治区第三轮草原生态保护补助奖励政策实施方案（2021-2025年）》，2021年至2022 年每年实施草补政策草原面积8170.62万亩，其中草畜平衡面积7420.62万亩，禁牧面积750万亩，核定理论载畜量747.67万个绵羊单位，县区禁牧补助和草畜平衡奖励标准分别为7.5元/亩年和2.5元/亩年。2023年至2025年每年实施草补政策草原面积8170.62万亩，其中草畜平衡面积7254.37万亩，禁牧面积916.25万亩，核定理论载畜量735.82万个绵羊单位。</w:t>
      </w:r>
    </w:p>
    <w:p w14:paraId="370F2DC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资金情况：2021年至2025年，自治区财政下达昌都市草补资金248218.9万元，昌都市财政下达11县区草补资金248218.9万元，其中2021年44907.9万元，2022年41921万元，2023年49130万元，2024年56130万元，2025年56130万元。2021年2024年，昌都市11县区兑现草补资金188519.2万元，其中：2021年44086.8万元，2022年45998万元，2023年48325.8万元，2024年50108.6万元。预计2025年兑现资金5.2亿元。</w:t>
      </w:r>
    </w:p>
    <w:p w14:paraId="569FC4F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实施成效：昌都市11县区138个乡镇10.4万户65.6万农牧民参与草补政策实施。2021年实现草畜平衡草原面积6860.7万亩，占实施面积的92.45%；2022年实现草畜平衡草原面积6929.2万亩，占实施面积的93.38%；2023年实现草畜平衡草原面积6962.9万亩，占实施面积的93.83%；2024年实现草畜平衡草原面积6860.7万亩，占实施面积的93.63%。2021年至2025年，预计兑现资金24亿元，促进年户均增收4615元、人均增收731元。</w:t>
      </w:r>
    </w:p>
    <w:p w14:paraId="27B2211A">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落实草畜平衡和禁牧管理制度。实施草畜平衡草原面积7254.37万亩，禁牧草原面积916.25万亩，细化任务指标到县区、乡镇、村居、农牧户、草场，逐级签订禁牧和草畜平衡责任书，明确责任、权利与义务，2021年至2024年，各县区总体实现草畜平衡。按照</w:t>
      </w:r>
      <w:r>
        <w:rPr>
          <w:rFonts w:hint="eastAsia" w:ascii="Times New Roman" w:hAnsi="Times New Roman" w:cs="Times New Roman"/>
          <w:sz w:val="24"/>
          <w:szCs w:val="24"/>
        </w:rPr>
        <w:t>“</w:t>
      </w:r>
      <w:r>
        <w:rPr>
          <w:rFonts w:ascii="Times New Roman" w:hAnsi="Times New Roman" w:cs="Times New Roman"/>
          <w:sz w:val="24"/>
          <w:szCs w:val="24"/>
        </w:rPr>
        <w:t>定岗定员、定岗定责、定岗定酬、一人一岗</w:t>
      </w:r>
      <w:r>
        <w:rPr>
          <w:rFonts w:hint="eastAsia" w:ascii="Times New Roman" w:hAnsi="Times New Roman" w:cs="Times New Roman"/>
          <w:sz w:val="24"/>
          <w:szCs w:val="24"/>
        </w:rPr>
        <w:t>”</w:t>
      </w:r>
      <w:r>
        <w:rPr>
          <w:rFonts w:ascii="Times New Roman" w:hAnsi="Times New Roman" w:cs="Times New Roman"/>
          <w:sz w:val="24"/>
          <w:szCs w:val="24"/>
        </w:rPr>
        <w:t>的要求，选聘村级草原监督员2711人，明确管理职责，完善管护制度，确保草畜平衡和禁牧管理制度有效落实。</w:t>
      </w:r>
    </w:p>
    <w:p w14:paraId="45F4DB55">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草原保护制度实施情况</w:t>
      </w:r>
    </w:p>
    <w:p w14:paraId="109CD09B">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（1）林长制实施情况</w:t>
      </w:r>
    </w:p>
    <w:p w14:paraId="478EB03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w:t>
      </w:r>
      <w:r>
        <w:rPr>
          <w:rFonts w:ascii="Times New Roman" w:hAnsi="Times New Roman" w:cs="Times New Roman"/>
          <w:sz w:val="24"/>
          <w:szCs w:val="24"/>
        </w:rPr>
        <w:t>十四五</w:t>
      </w:r>
      <w:r>
        <w:rPr>
          <w:rFonts w:hint="eastAsia" w:ascii="Times New Roman" w:hAnsi="Times New Roman" w:cs="Times New Roman"/>
          <w:sz w:val="24"/>
          <w:szCs w:val="24"/>
        </w:rPr>
        <w:t>”</w:t>
      </w:r>
      <w:r>
        <w:rPr>
          <w:rFonts w:ascii="Times New Roman" w:hAnsi="Times New Roman" w:cs="Times New Roman"/>
          <w:sz w:val="24"/>
          <w:szCs w:val="24"/>
        </w:rPr>
        <w:t>时期，昌都市坚持高位推动，强化责任落实，在全区率先全面建立四级林长制体系，全面推行</w:t>
      </w:r>
      <w:r>
        <w:rPr>
          <w:rFonts w:hint="eastAsia" w:ascii="Times New Roman" w:hAnsi="Times New Roman" w:cs="Times New Roman"/>
          <w:sz w:val="24"/>
          <w:szCs w:val="24"/>
        </w:rPr>
        <w:t>“一</w:t>
      </w:r>
      <w:r>
        <w:rPr>
          <w:rFonts w:ascii="Times New Roman" w:hAnsi="Times New Roman" w:cs="Times New Roman"/>
          <w:sz w:val="24"/>
          <w:szCs w:val="24"/>
        </w:rPr>
        <w:t>长N</w:t>
      </w:r>
      <w:r>
        <w:rPr>
          <w:rFonts w:hint="eastAsia" w:ascii="Times New Roman" w:hAnsi="Times New Roman" w:cs="Times New Roman"/>
          <w:sz w:val="24"/>
          <w:szCs w:val="24"/>
        </w:rPr>
        <w:t>员”管护机制，各级部门协同发力，着力解决林草湿资源保护发展重点难点问题，林长制工作扎实推进。建立了“林长+检察长+警长”、“林长+河湖长”、“林长+气象服务”协作工作机制及林长令、林长制会议、林长制办公室工作、督查、部门协作、信息公开、巡林等制度办法，全市8252名林长认真履职尽责，协调解决林草保护与建设中的重难点问题，推动资源管护更加规范有力。</w:t>
      </w:r>
    </w:p>
    <w:p w14:paraId="23826BD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（2）草原承包经营制度实施情况</w:t>
      </w:r>
    </w:p>
    <w:p w14:paraId="65771FB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草原承包经营制度实施工作经历了从试点探索到全面推开的历程，目前已进入确权登记颁证阶段，为保障农牧民权益、促进草原生态保护和畜牧业可持续发展奠定了坚实基础。2022年2月，昌都市全面启动草原承包经营权确权登记颁证工作。在完成类乌齐县试点工作的基础上，有序推进全市其余10县（区）草原承包经营权确权登记颁证。通过草原承包经营权确权登记颁证工作，进一步稳定了草原承包关系，促进了草原资源合理流转，增加了农牧民财产性收入，为保障农牧民权益、推动草原生态保护和可持续利用奠定了坚实基础。草原承包经营制度的实施，为昌都市农牧业经济发展和农牧民生活水平提高提供了有力支撑。</w:t>
      </w:r>
    </w:p>
    <w:p w14:paraId="7E09C78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全市草原已完成确权面积6229.745万亩，涉及全市11个区县、132个乡镇、1077个行政村、牧户113518户。</w:t>
      </w:r>
    </w:p>
    <w:p w14:paraId="48DF6334">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表3-14草原确权乡镇、村、户数及确权面积汇总表</w:t>
      </w:r>
    </w:p>
    <w:tbl>
      <w:tblPr>
        <w:tblStyle w:val="24"/>
        <w:tblW w:w="8981" w:type="dxa"/>
        <w:tblInd w:w="0" w:type="dxa"/>
        <w:tblLayout w:type="fixed"/>
        <w:tblCellMar>
          <w:top w:w="0" w:type="dxa"/>
          <w:left w:w="0" w:type="dxa"/>
          <w:bottom w:w="0" w:type="dxa"/>
          <w:right w:w="0" w:type="dxa"/>
        </w:tblCellMar>
      </w:tblPr>
      <w:tblGrid>
        <w:gridCol w:w="2462"/>
        <w:gridCol w:w="1108"/>
        <w:gridCol w:w="2173"/>
        <w:gridCol w:w="1220"/>
        <w:gridCol w:w="2018"/>
      </w:tblGrid>
      <w:tr w14:paraId="08ED0ADE">
        <w:tblPrEx>
          <w:tblCellMar>
            <w:top w:w="0" w:type="dxa"/>
            <w:left w:w="0" w:type="dxa"/>
            <w:bottom w:w="0" w:type="dxa"/>
            <w:right w:w="0" w:type="dxa"/>
          </w:tblCellMar>
        </w:tblPrEx>
        <w:trPr>
          <w:trHeight w:val="480"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93809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县</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市、区</w:t>
            </w:r>
            <w:r>
              <w:rPr>
                <w:rFonts w:hint="eastAsia" w:ascii="Times New Roman" w:hAnsi="Times New Roman" w:eastAsia="宋体" w:cs="Times New Roman"/>
                <w:kern w:val="0"/>
                <w:szCs w:val="21"/>
              </w:rPr>
              <w:t>）</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57CA1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乡镇数</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7683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行政村数</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6122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户数</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378F6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确权面积</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万亩</w:t>
            </w:r>
            <w:r>
              <w:rPr>
                <w:rFonts w:hint="eastAsia" w:ascii="Times New Roman" w:hAnsi="Times New Roman" w:eastAsia="宋体" w:cs="Times New Roman"/>
                <w:kern w:val="0"/>
                <w:szCs w:val="21"/>
              </w:rPr>
              <w:t>）</w:t>
            </w:r>
          </w:p>
        </w:tc>
      </w:tr>
      <w:tr w14:paraId="5866180F">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E3EB0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CC52D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712DB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154</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34816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15045</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1EA69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473.870</w:t>
            </w:r>
          </w:p>
        </w:tc>
      </w:tr>
      <w:tr w14:paraId="04DA1A77">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064B9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48F0C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0B569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136</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552AA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11733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04369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606.048</w:t>
            </w:r>
          </w:p>
        </w:tc>
      </w:tr>
      <w:tr w14:paraId="328ABAD2">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63568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边坝县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29BCF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FEFF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83</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90746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7266</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6C1F2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450.394</w:t>
            </w:r>
          </w:p>
        </w:tc>
      </w:tr>
      <w:tr w14:paraId="4D9E596E">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A434F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2EDA4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90734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65</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31F2E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14345</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16FCD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955.275</w:t>
            </w:r>
          </w:p>
        </w:tc>
      </w:tr>
      <w:tr w14:paraId="35063C08">
        <w:tblPrEx>
          <w:tblCellMar>
            <w:top w:w="0" w:type="dxa"/>
            <w:left w:w="0" w:type="dxa"/>
            <w:bottom w:w="0" w:type="dxa"/>
            <w:right w:w="0" w:type="dxa"/>
          </w:tblCellMar>
        </w:tblPrEx>
        <w:trPr>
          <w:trHeight w:val="301"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2195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芒康县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95057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A731B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C4ED0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10513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73F65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375.090</w:t>
            </w:r>
          </w:p>
        </w:tc>
      </w:tr>
      <w:tr w14:paraId="3183355A">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50C8B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左贡县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B7B4B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2EE4D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127</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93E60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8487</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3CB2E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559.620</w:t>
            </w:r>
          </w:p>
        </w:tc>
      </w:tr>
      <w:tr w14:paraId="0402DEC1">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57E2C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AB2F29">
            <w:pPr>
              <w:widowControl/>
              <w:jc w:val="center"/>
              <w:textAlignment w:val="center"/>
              <w:rPr>
                <w:rFonts w:ascii="Times New Roman" w:hAnsi="Times New Roman" w:eastAsia="宋体" w:cs="Times New Roman"/>
                <w:szCs w:val="21"/>
              </w:rPr>
            </w:pPr>
            <w:r>
              <w:rPr>
                <w:rFonts w:hint="eastAsia" w:ascii="Times New Roman" w:hAnsi="Times New Roman" w:eastAsia="宋体" w:cs="Times New Roman"/>
                <w:kern w:val="0"/>
                <w:szCs w:val="21"/>
              </w:rPr>
              <w:t>6</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8AFF0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106</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E582B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5193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DAACC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374.300</w:t>
            </w:r>
          </w:p>
        </w:tc>
      </w:tr>
      <w:tr w14:paraId="0F1F4553">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2F2E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八宿县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A7BD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14</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164CB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109</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C6E5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8757</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893F4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729.770</w:t>
            </w:r>
          </w:p>
        </w:tc>
      </w:tr>
      <w:tr w14:paraId="4535CA9B">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718B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85EE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10AF2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94</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3862F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15176</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7BD79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1040.289</w:t>
            </w:r>
          </w:p>
        </w:tc>
      </w:tr>
      <w:tr w14:paraId="55FE446A">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745AA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洛隆县</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1B944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8CE74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63</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C969B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9280</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2BA51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201.000</w:t>
            </w:r>
          </w:p>
        </w:tc>
      </w:tr>
      <w:tr w14:paraId="05B1E9CC">
        <w:tblPrEx>
          <w:tblCellMar>
            <w:top w:w="0" w:type="dxa"/>
            <w:left w:w="0" w:type="dxa"/>
            <w:bottom w:w="0" w:type="dxa"/>
            <w:right w:w="0" w:type="dxa"/>
          </w:tblCellMar>
        </w:tblPrEx>
        <w:trPr>
          <w:trHeight w:val="324"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0D261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类鸟齐县</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试点</w:t>
            </w:r>
            <w:r>
              <w:rPr>
                <w:rFonts w:hint="eastAsia" w:ascii="Times New Roman" w:hAnsi="Times New Roman" w:eastAsia="宋体" w:cs="Times New Roman"/>
                <w:kern w:val="0"/>
                <w:szCs w:val="21"/>
              </w:rPr>
              <w:t>）</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35B65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C1F75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80</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3750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7723</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428D2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464.089</w:t>
            </w:r>
          </w:p>
        </w:tc>
      </w:tr>
      <w:tr w14:paraId="36FC1743">
        <w:tblPrEx>
          <w:tblCellMar>
            <w:top w:w="0" w:type="dxa"/>
            <w:left w:w="0" w:type="dxa"/>
            <w:bottom w:w="0" w:type="dxa"/>
            <w:right w:w="0" w:type="dxa"/>
          </w:tblCellMar>
        </w:tblPrEx>
        <w:trPr>
          <w:trHeight w:val="285" w:hRule="atLeast"/>
        </w:trPr>
        <w:tc>
          <w:tcPr>
            <w:tcW w:w="246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59CAE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总计</w:t>
            </w:r>
          </w:p>
        </w:tc>
        <w:tc>
          <w:tcPr>
            <w:tcW w:w="11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8255B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132</w:t>
            </w:r>
          </w:p>
        </w:tc>
        <w:tc>
          <w:tcPr>
            <w:tcW w:w="21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229AA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1077</w:t>
            </w:r>
          </w:p>
        </w:tc>
        <w:tc>
          <w:tcPr>
            <w:tcW w:w="122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ADC8B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113518</w:t>
            </w:r>
          </w:p>
        </w:tc>
        <w:tc>
          <w:tcPr>
            <w:tcW w:w="201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94A6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6229.745</w:t>
            </w:r>
          </w:p>
        </w:tc>
      </w:tr>
    </w:tbl>
    <w:p w14:paraId="5803C851">
      <w:pPr>
        <w:spacing w:line="360" w:lineRule="auto"/>
        <w:rPr>
          <w:rFonts w:ascii="Times New Roman" w:hAnsi="Times New Roman" w:cs="Times New Roman"/>
          <w:sz w:val="24"/>
          <w:szCs w:val="24"/>
        </w:rPr>
      </w:pPr>
    </w:p>
    <w:p w14:paraId="192DBB9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（3）草原征占用审核审批制度实施情况</w:t>
      </w:r>
    </w:p>
    <w:p w14:paraId="25A1FAF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严格按照《中华人民共和国草原法》、《草原征占用审核审批管理办法》等法律法规，结合西藏自治区实际，建立了较为完善的草原征占用审核审批制度。2020年，昌都市人民政府办公室印发了《昌都市关于进一步加强森林草原资源管理服务经济社会生态健康发展的意见》，进一步规范了草原征占用管理工作。</w:t>
      </w:r>
    </w:p>
    <w:p w14:paraId="4E6D957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2023年至2025年期间，昌都市共有1284项办理草原征占用审核审批项目，项目类别有“公共事业和民生”“基础设施项目”“经营性项目”“个人住宅”“公路工程”等。1284项草原征占用项目的征占用草地面积共计1554.60公顷，收取植被恢复费6243.64万元。</w:t>
      </w:r>
    </w:p>
    <w:p w14:paraId="66DE7473">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表3-15草原征占用项目审核审批统计表</w:t>
      </w:r>
    </w:p>
    <w:tbl>
      <w:tblPr>
        <w:tblStyle w:val="24"/>
        <w:tblW w:w="8981" w:type="dxa"/>
        <w:tblInd w:w="0" w:type="dxa"/>
        <w:tblLayout w:type="fixed"/>
        <w:tblCellMar>
          <w:top w:w="0" w:type="dxa"/>
          <w:left w:w="0" w:type="dxa"/>
          <w:bottom w:w="0" w:type="dxa"/>
          <w:right w:w="0" w:type="dxa"/>
        </w:tblCellMar>
      </w:tblPr>
      <w:tblGrid>
        <w:gridCol w:w="957"/>
        <w:gridCol w:w="1341"/>
        <w:gridCol w:w="1342"/>
        <w:gridCol w:w="1461"/>
        <w:gridCol w:w="1582"/>
        <w:gridCol w:w="1342"/>
        <w:gridCol w:w="956"/>
      </w:tblGrid>
      <w:tr w14:paraId="1F8599DD">
        <w:tblPrEx>
          <w:tblCellMar>
            <w:top w:w="0" w:type="dxa"/>
            <w:left w:w="0" w:type="dxa"/>
            <w:bottom w:w="0" w:type="dxa"/>
            <w:right w:w="0" w:type="dxa"/>
          </w:tblCellMar>
        </w:tblPrEx>
        <w:trPr>
          <w:trHeight w:val="285" w:hRule="atLeast"/>
        </w:trPr>
        <w:tc>
          <w:tcPr>
            <w:tcW w:w="957" w:type="dxa"/>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14:paraId="6D9CFF2A">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年份</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466F10">
            <w:pPr>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数量（项）</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FE8EB">
            <w:pPr>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征占用面积（公顷）</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DDED4">
            <w:pPr>
              <w:jc w:val="center"/>
              <w:rPr>
                <w:rFonts w:ascii="Times New Roman" w:hAnsi="Times New Roman" w:eastAsia="宋体" w:cs="Times New Roman"/>
                <w:sz w:val="24"/>
                <w:szCs w:val="24"/>
              </w:rPr>
            </w:pPr>
            <w:r>
              <w:rPr>
                <w:rFonts w:ascii="Times New Roman" w:hAnsi="Times New Roman" w:eastAsia="宋体" w:cs="Times New Roman"/>
                <w:kern w:val="0"/>
                <w:sz w:val="24"/>
                <w:szCs w:val="24"/>
              </w:rPr>
              <w:t>收取恢复费金额（万元）</w:t>
            </w:r>
          </w:p>
        </w:tc>
      </w:tr>
      <w:tr w14:paraId="19CD5723">
        <w:tblPrEx>
          <w:tblCellMar>
            <w:top w:w="0" w:type="dxa"/>
            <w:left w:w="0" w:type="dxa"/>
            <w:bottom w:w="0" w:type="dxa"/>
            <w:right w:w="0" w:type="dxa"/>
          </w:tblCellMar>
        </w:tblPrEx>
        <w:trPr>
          <w:trHeight w:val="285" w:hRule="atLeast"/>
        </w:trPr>
        <w:tc>
          <w:tcPr>
            <w:tcW w:w="957" w:type="dxa"/>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A60069">
            <w:pPr>
              <w:widowControl/>
              <w:jc w:val="center"/>
              <w:textAlignment w:val="center"/>
              <w:rPr>
                <w:rFonts w:ascii="Times New Roman" w:hAnsi="Times New Roman" w:eastAsia="宋体" w:cs="Times New Roman"/>
                <w:sz w:val="24"/>
                <w:szCs w:val="24"/>
              </w:rPr>
            </w:pPr>
          </w:p>
        </w:tc>
        <w:tc>
          <w:tcPr>
            <w:tcW w:w="13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A77299">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永久</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A3D26">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临时</w:t>
            </w:r>
          </w:p>
        </w:tc>
        <w:tc>
          <w:tcPr>
            <w:tcW w:w="14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E2A0C9">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永久</w:t>
            </w:r>
          </w:p>
        </w:tc>
        <w:tc>
          <w:tcPr>
            <w:tcW w:w="1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EE6FC">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临时</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1D9F12">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永久</w:t>
            </w:r>
          </w:p>
        </w:tc>
        <w:tc>
          <w:tcPr>
            <w:tcW w:w="95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F363B7">
            <w:pPr>
              <w:widowControl/>
              <w:jc w:val="center"/>
              <w:textAlignment w:val="center"/>
              <w:rPr>
                <w:rFonts w:ascii="Times New Roman" w:hAnsi="Times New Roman" w:eastAsia="宋体" w:cs="Times New Roman"/>
                <w:sz w:val="24"/>
                <w:szCs w:val="24"/>
              </w:rPr>
            </w:pPr>
            <w:r>
              <w:rPr>
                <w:rFonts w:ascii="Times New Roman" w:hAnsi="Times New Roman" w:eastAsia="宋体" w:cs="Times New Roman"/>
                <w:kern w:val="0"/>
                <w:sz w:val="24"/>
                <w:szCs w:val="24"/>
              </w:rPr>
              <w:t>临时</w:t>
            </w:r>
          </w:p>
        </w:tc>
      </w:tr>
      <w:tr w14:paraId="2428F215">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370475">
            <w:pPr>
              <w:jc w:val="center"/>
              <w:rPr>
                <w:rFonts w:ascii="Times New Roman" w:hAnsi="Times New Roman" w:eastAsia="宋体" w:cs="Times New Roman"/>
                <w:sz w:val="24"/>
                <w:szCs w:val="24"/>
              </w:rPr>
            </w:pPr>
            <w:r>
              <w:rPr>
                <w:rFonts w:ascii="Times New Roman" w:hAnsi="Times New Roman" w:eastAsia="宋体" w:cs="Times New Roman"/>
                <w:sz w:val="24"/>
                <w:szCs w:val="24"/>
              </w:rPr>
              <w:t>2023</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F96F22">
            <w:pPr>
              <w:jc w:val="center"/>
              <w:rPr>
                <w:rFonts w:ascii="Times New Roman" w:hAnsi="Times New Roman" w:eastAsia="宋体" w:cs="Times New Roman"/>
                <w:sz w:val="24"/>
                <w:szCs w:val="24"/>
              </w:rPr>
            </w:pPr>
            <w:r>
              <w:rPr>
                <w:rFonts w:ascii="Times New Roman" w:hAnsi="Times New Roman" w:eastAsia="宋体" w:cs="Times New Roman"/>
                <w:sz w:val="24"/>
                <w:szCs w:val="24"/>
              </w:rPr>
              <w:t>397</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45935">
            <w:pPr>
              <w:jc w:val="center"/>
              <w:rPr>
                <w:rFonts w:ascii="Times New Roman" w:hAnsi="Times New Roman" w:eastAsia="宋体" w:cs="Times New Roman"/>
                <w:sz w:val="24"/>
                <w:szCs w:val="24"/>
              </w:rPr>
            </w:pPr>
            <w:r>
              <w:rPr>
                <w:rFonts w:ascii="Times New Roman" w:hAnsi="Times New Roman" w:eastAsia="宋体" w:cs="Times New Roman"/>
                <w:sz w:val="24"/>
                <w:szCs w:val="24"/>
              </w:rPr>
              <w:t>764.64</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87D57">
            <w:pPr>
              <w:jc w:val="center"/>
              <w:rPr>
                <w:rFonts w:ascii="Times New Roman" w:hAnsi="Times New Roman" w:eastAsia="宋体" w:cs="Times New Roman"/>
                <w:sz w:val="24"/>
                <w:szCs w:val="24"/>
              </w:rPr>
            </w:pPr>
            <w:r>
              <w:rPr>
                <w:rFonts w:ascii="Times New Roman" w:hAnsi="Times New Roman" w:eastAsia="宋体" w:cs="Times New Roman"/>
                <w:sz w:val="24"/>
                <w:szCs w:val="24"/>
              </w:rPr>
              <w:t>2741.94</w:t>
            </w:r>
          </w:p>
        </w:tc>
      </w:tr>
      <w:tr w14:paraId="62B315B5">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4F7770">
            <w:pPr>
              <w:jc w:val="center"/>
              <w:rPr>
                <w:rFonts w:ascii="Times New Roman" w:hAnsi="Times New Roman" w:eastAsia="宋体" w:cs="Times New Roman"/>
                <w:sz w:val="24"/>
                <w:szCs w:val="24"/>
              </w:rPr>
            </w:pPr>
            <w:r>
              <w:rPr>
                <w:rFonts w:ascii="Times New Roman" w:hAnsi="Times New Roman" w:eastAsia="宋体" w:cs="Times New Roman"/>
                <w:sz w:val="24"/>
                <w:szCs w:val="24"/>
              </w:rPr>
              <w:t>2024</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7F20DE">
            <w:pPr>
              <w:jc w:val="center"/>
              <w:rPr>
                <w:rFonts w:ascii="Times New Roman" w:hAnsi="Times New Roman" w:eastAsia="宋体" w:cs="Times New Roman"/>
                <w:sz w:val="24"/>
                <w:szCs w:val="24"/>
              </w:rPr>
            </w:pPr>
            <w:r>
              <w:rPr>
                <w:rFonts w:ascii="Times New Roman" w:hAnsi="Times New Roman" w:eastAsia="宋体" w:cs="Times New Roman"/>
                <w:sz w:val="24"/>
                <w:szCs w:val="24"/>
              </w:rPr>
              <w:t>460</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961EFA">
            <w:pPr>
              <w:jc w:val="center"/>
              <w:rPr>
                <w:rFonts w:ascii="Times New Roman" w:hAnsi="Times New Roman" w:eastAsia="宋体" w:cs="Times New Roman"/>
                <w:sz w:val="24"/>
                <w:szCs w:val="24"/>
              </w:rPr>
            </w:pPr>
            <w:r>
              <w:rPr>
                <w:rFonts w:ascii="Times New Roman" w:hAnsi="Times New Roman" w:eastAsia="宋体" w:cs="Times New Roman"/>
                <w:sz w:val="24"/>
                <w:szCs w:val="24"/>
              </w:rPr>
              <w:t>361.11</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6EEF0">
            <w:pPr>
              <w:jc w:val="center"/>
              <w:rPr>
                <w:rFonts w:ascii="Times New Roman" w:hAnsi="Times New Roman" w:eastAsia="宋体" w:cs="Times New Roman"/>
                <w:sz w:val="24"/>
                <w:szCs w:val="24"/>
              </w:rPr>
            </w:pPr>
            <w:r>
              <w:rPr>
                <w:rFonts w:ascii="Times New Roman" w:hAnsi="Times New Roman" w:eastAsia="宋体" w:cs="Times New Roman"/>
                <w:sz w:val="24"/>
                <w:szCs w:val="24"/>
              </w:rPr>
              <w:t>1528.97</w:t>
            </w:r>
          </w:p>
        </w:tc>
      </w:tr>
      <w:tr w14:paraId="036491D4">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C55514">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2025</w:t>
            </w:r>
          </w:p>
        </w:tc>
        <w:tc>
          <w:tcPr>
            <w:tcW w:w="13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B1F924">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427</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A2E4E">
            <w:pPr>
              <w:jc w:val="center"/>
              <w:rPr>
                <w:rFonts w:ascii="Times New Roman" w:hAnsi="Times New Roman" w:eastAsia="宋体" w:cs="Times New Roman"/>
                <w:sz w:val="24"/>
                <w:szCs w:val="24"/>
              </w:rPr>
            </w:pPr>
            <w:r>
              <w:rPr>
                <w:rFonts w:hint="eastAsia" w:ascii="Times New Roman" w:hAnsi="Times New Roman" w:eastAsia="宋体" w:cs="Times New Roman"/>
                <w:b/>
                <w:bCs/>
                <w:sz w:val="24"/>
                <w:szCs w:val="24"/>
              </w:rPr>
              <w:t>/</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11FC2">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428.85</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308FFB">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1972.73</w:t>
            </w:r>
          </w:p>
        </w:tc>
      </w:tr>
      <w:tr w14:paraId="0BD43B68">
        <w:tblPrEx>
          <w:tblCellMar>
            <w:top w:w="0" w:type="dxa"/>
            <w:left w:w="0" w:type="dxa"/>
            <w:bottom w:w="0" w:type="dxa"/>
            <w:right w:w="0" w:type="dxa"/>
          </w:tblCellMar>
        </w:tblPrEx>
        <w:trPr>
          <w:trHeight w:val="285" w:hRule="atLeast"/>
        </w:trPr>
        <w:tc>
          <w:tcPr>
            <w:tcW w:w="9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A53C4">
            <w:pPr>
              <w:jc w:val="center"/>
              <w:rPr>
                <w:rFonts w:ascii="Times New Roman" w:hAnsi="Times New Roman" w:eastAsia="宋体" w:cs="Times New Roman"/>
                <w:sz w:val="24"/>
                <w:szCs w:val="24"/>
              </w:rPr>
            </w:pPr>
            <w:r>
              <w:rPr>
                <w:rFonts w:hint="eastAsia" w:ascii="Times New Roman" w:hAnsi="Times New Roman" w:cs="Times New Roman"/>
                <w:sz w:val="24"/>
                <w:szCs w:val="24"/>
              </w:rPr>
              <w:t>合计</w:t>
            </w:r>
          </w:p>
        </w:tc>
        <w:tc>
          <w:tcPr>
            <w:tcW w:w="268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B1ABA">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1284</w:t>
            </w:r>
          </w:p>
        </w:tc>
        <w:tc>
          <w:tcPr>
            <w:tcW w:w="304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073D0">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1554.60</w:t>
            </w:r>
          </w:p>
        </w:tc>
        <w:tc>
          <w:tcPr>
            <w:tcW w:w="229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523B32">
            <w:pPr>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6243.64</w:t>
            </w:r>
          </w:p>
        </w:tc>
      </w:tr>
    </w:tbl>
    <w:p w14:paraId="56176A2A">
      <w:pPr>
        <w:spacing w:line="360" w:lineRule="auto"/>
        <w:rPr>
          <w:rFonts w:ascii="Times New Roman" w:hAnsi="Times New Roman" w:cs="Times New Roman"/>
          <w:sz w:val="24"/>
          <w:szCs w:val="24"/>
        </w:rPr>
      </w:pPr>
    </w:p>
    <w:p w14:paraId="297927D0">
      <w:pPr>
        <w:pStyle w:val="4"/>
        <w:numPr>
          <w:ilvl w:val="2"/>
          <w:numId w:val="2"/>
        </w:numPr>
        <w:spacing w:before="120" w:after="120" w:line="360" w:lineRule="auto"/>
        <w:rPr>
          <w:rStyle w:val="28"/>
          <w:color w:val="auto"/>
          <w:sz w:val="28"/>
          <w:szCs w:val="28"/>
          <w:u w:val="none"/>
        </w:rPr>
      </w:pPr>
      <w:bookmarkStart w:id="40" w:name="_Toc28644"/>
      <w:r>
        <w:rPr>
          <w:rStyle w:val="28"/>
          <w:rFonts w:hint="eastAsia"/>
          <w:color w:val="auto"/>
          <w:sz w:val="28"/>
          <w:szCs w:val="28"/>
          <w:u w:val="none"/>
        </w:rPr>
        <w:t>草原修复现状</w:t>
      </w:r>
      <w:bookmarkEnd w:id="40"/>
    </w:p>
    <w:p w14:paraId="54BBA0B6">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草原健康和退化评估</w:t>
      </w:r>
    </w:p>
    <w:p w14:paraId="3C5CDCF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紧扣西藏自治区、昌都市市政府的决策部署，国家林业局昆明勘察设计院按规范技术的要求，精心组织、合理调度、科学调查，于2023年8月20日完成全昌都市草原健康和退化评估调查工作，并出具了《西藏自治区昌都市2023年草原健康和退化评估报告》。通过抽样调查获取草原生态现状数据，将监测指标空间化和全图斑赋值，对照评估参照系进行草原健康和退化定量评估，计算草原健康和退化等级，基本掌握草原健康和退化面积、分布、结构、等级等情况。草原健康和退化评估为摸清草原健康和退化底数，掌握草原生态现状和生态变化过程，科学推进国土绿化、草原生态修复和草原资源保护发展方针政策制定提供基础资料。</w:t>
      </w:r>
    </w:p>
    <w:p w14:paraId="27AB64E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草原生态综合监测评价工作</w:t>
      </w:r>
    </w:p>
    <w:p w14:paraId="0B1A1CD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2022年，昌都市率先启动林草生态综合监测工作，成立了由市政府分管副市长任组长的工作领导小组，统筹推进全市林草湿荒调查监测工作。设置林草湿荒监测样地，下派工作人员跟随技术人员开展森林、草原、湿地及荒漠样地外业调查，为摸清草原生态状况奠定了坚实基础。已取得显著成效，形成了常态化、制度化的监测体系。</w:t>
      </w:r>
    </w:p>
    <w:p w14:paraId="1B52339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森林草原湿地荒漠化普查工作</w:t>
      </w:r>
    </w:p>
    <w:p w14:paraId="4C511F2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2024年10月15日，昌都市完成了草原湿地荒漠化普查外业工作。此次普查按照统一底图、统一标准、统一时点，采用图斑与样地调查相结合的方法，完成了草原加密样地313个，完成率为100%，并全部上传数据。开展森林草原湿地荒漠化普查，准确掌握林草湿荒资源及其生态状况，客观评价生态保护修复成效，对推动生态文明建设，强化山水林田湖草沙一体化保护和系统治理基础支撑，积极稳妥推进碳达峰碳中和，推进林草事业高质量发展，具有十分重要的意义。</w:t>
      </w:r>
    </w:p>
    <w:p w14:paraId="11226EAC">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草原资源与生态监测</w:t>
      </w:r>
    </w:p>
    <w:p w14:paraId="2218DD3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建立了完善的林草资源监测系统，通过物联网感知层、无人机航测层和大数据分析层的有机融合，构建了“智能、精准、高效、共享”的“1+1+N”林草资源监测综合管理体系。2025年6月，昌都市林草资源监测系统顺利通过验收，为林草资源保护管理提供了强有力的技术支撑。</w:t>
      </w:r>
    </w:p>
    <w:p w14:paraId="092D3D6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开展了高寒草地鼠兔危害外业调查工作，采用样方调查（500个）、无人机航拍相结合的方式，掌握高原鼠兔种群密度、危害面积、危害程度等数据，为后续鼠兔危害精准防治提供技术支撑。同时，建立了邦达草原高原鼠兔数据集或数据库、鼠兔洞识别模型等，科学研判高原鼠兔危害发生趋势。</w:t>
      </w:r>
    </w:p>
    <w:p w14:paraId="63D2649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草原生态修复项目实施情况</w:t>
      </w:r>
    </w:p>
    <w:p w14:paraId="4B9AB39C">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昌都市“十四五”期间草原生态修复项目共计投资46604.16万元，草原修复面积243.59万亩，围栏封育54.575万米，草原改良119.24万亩，人工种草87.78万亩。</w:t>
      </w:r>
    </w:p>
    <w:p w14:paraId="447D0DB2">
      <w:pPr>
        <w:spacing w:line="360" w:lineRule="auto"/>
        <w:ind w:firstLine="480" w:firstLineChars="200"/>
        <w:rPr>
          <w:rFonts w:ascii="Times New Roman" w:hAnsi="Times New Roman" w:cs="Times New Roman"/>
          <w:sz w:val="24"/>
          <w:szCs w:val="24"/>
        </w:rPr>
      </w:pPr>
      <w:r>
        <w:rPr>
          <w:rFonts w:hint="eastAsia" w:ascii="Times New Roman" w:hAnsi="Times New Roman" w:eastAsia="宋体" w:cs="Times New Roman"/>
          <w:sz w:val="24"/>
          <w:szCs w:val="24"/>
        </w:rPr>
        <w:t>全市通过积极开展退化草原修复治理，加强对草原资源的管理和监测，严格控制过度放牧、非法采矿等行为，有效减少了草原生态环境的破坏，在一定程度上恢复了草场生态系统的平衡，提高了草原生产力，促进了草原生态系统的恢复和畜牧业的可持续发展，推进了全市草原高质量发展。</w:t>
      </w:r>
    </w:p>
    <w:p w14:paraId="39B5ACFA">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表3-16  2021-2025年草原生态修复项目统计表</w:t>
      </w:r>
    </w:p>
    <w:tbl>
      <w:tblPr>
        <w:tblStyle w:val="25"/>
        <w:tblW w:w="92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14"/>
        <w:gridCol w:w="1830"/>
        <w:gridCol w:w="1371"/>
        <w:gridCol w:w="1220"/>
        <w:gridCol w:w="1804"/>
      </w:tblGrid>
      <w:tr w14:paraId="487C0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Align w:val="center"/>
          </w:tcPr>
          <w:p w14:paraId="59A6BD73">
            <w:pPr>
              <w:jc w:val="center"/>
              <w:rPr>
                <w:rFonts w:ascii="Times New Roman" w:hAnsi="Times New Roman" w:cs="Times New Roman"/>
                <w:szCs w:val="21"/>
              </w:rPr>
            </w:pPr>
            <w:r>
              <w:rPr>
                <w:rFonts w:ascii="Times New Roman" w:cs="Times New Roman"/>
                <w:szCs w:val="21"/>
              </w:rPr>
              <w:t>项目名称</w:t>
            </w:r>
          </w:p>
        </w:tc>
        <w:tc>
          <w:tcPr>
            <w:tcW w:w="1830" w:type="dxa"/>
            <w:vAlign w:val="center"/>
          </w:tcPr>
          <w:p w14:paraId="6F854343">
            <w:pPr>
              <w:jc w:val="center"/>
              <w:rPr>
                <w:rFonts w:ascii="Times New Roman" w:hAnsi="Times New Roman" w:cs="Times New Roman"/>
                <w:szCs w:val="21"/>
              </w:rPr>
            </w:pPr>
            <w:r>
              <w:rPr>
                <w:rFonts w:ascii="Times New Roman" w:cs="Times New Roman"/>
                <w:szCs w:val="21"/>
              </w:rPr>
              <w:t>治理内容</w:t>
            </w:r>
          </w:p>
        </w:tc>
        <w:tc>
          <w:tcPr>
            <w:tcW w:w="1371" w:type="dxa"/>
            <w:vAlign w:val="center"/>
          </w:tcPr>
          <w:p w14:paraId="4028E2EF">
            <w:pPr>
              <w:jc w:val="center"/>
              <w:rPr>
                <w:rFonts w:ascii="Times New Roman" w:cs="Times New Roman"/>
                <w:szCs w:val="21"/>
              </w:rPr>
            </w:pPr>
            <w:r>
              <w:rPr>
                <w:rFonts w:ascii="Times New Roman" w:cs="Times New Roman"/>
                <w:szCs w:val="21"/>
              </w:rPr>
              <w:t>治理面积</w:t>
            </w:r>
          </w:p>
          <w:p w14:paraId="2F90AB43">
            <w:pPr>
              <w:jc w:val="center"/>
              <w:rPr>
                <w:rFonts w:ascii="Times New Roman" w:hAnsi="Times New Roman" w:cs="Times New Roman"/>
                <w:szCs w:val="21"/>
              </w:rPr>
            </w:pPr>
            <w:r>
              <w:rPr>
                <w:rFonts w:ascii="Times New Roman" w:cs="Times New Roman"/>
                <w:szCs w:val="21"/>
              </w:rPr>
              <w:t>（万亩）</w:t>
            </w:r>
          </w:p>
        </w:tc>
        <w:tc>
          <w:tcPr>
            <w:tcW w:w="1220" w:type="dxa"/>
            <w:vAlign w:val="center"/>
          </w:tcPr>
          <w:p w14:paraId="444D3585">
            <w:pPr>
              <w:jc w:val="center"/>
              <w:rPr>
                <w:rFonts w:ascii="Times New Roman" w:hAnsi="Times New Roman" w:cs="Times New Roman"/>
                <w:szCs w:val="21"/>
              </w:rPr>
            </w:pPr>
            <w:r>
              <w:rPr>
                <w:rFonts w:ascii="Times New Roman" w:cs="Times New Roman"/>
                <w:szCs w:val="21"/>
              </w:rPr>
              <w:t>投资资金（万元）</w:t>
            </w:r>
          </w:p>
        </w:tc>
        <w:tc>
          <w:tcPr>
            <w:tcW w:w="1804" w:type="dxa"/>
            <w:vAlign w:val="center"/>
          </w:tcPr>
          <w:p w14:paraId="68BF5A1A">
            <w:pPr>
              <w:jc w:val="center"/>
              <w:rPr>
                <w:rFonts w:ascii="Times New Roman" w:hAnsi="Times New Roman" w:cs="Times New Roman"/>
                <w:szCs w:val="21"/>
              </w:rPr>
            </w:pPr>
            <w:r>
              <w:rPr>
                <w:rFonts w:ascii="Times New Roman" w:cs="Times New Roman"/>
                <w:szCs w:val="21"/>
              </w:rPr>
              <w:t>涉及区县</w:t>
            </w:r>
          </w:p>
        </w:tc>
      </w:tr>
      <w:tr w14:paraId="0CD0F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Align w:val="center"/>
          </w:tcPr>
          <w:p w14:paraId="70B1C464">
            <w:pPr>
              <w:jc w:val="center"/>
              <w:rPr>
                <w:rFonts w:ascii="Times New Roman" w:hAnsi="Times New Roman" w:cs="Times New Roman"/>
                <w:szCs w:val="21"/>
              </w:rPr>
            </w:pPr>
            <w:r>
              <w:rPr>
                <w:rFonts w:ascii="Times New Roman" w:hAnsi="Times New Roman" w:cs="Times New Roman"/>
                <w:szCs w:val="21"/>
              </w:rPr>
              <w:t>2021</w:t>
            </w:r>
            <w:r>
              <w:rPr>
                <w:rFonts w:ascii="Times New Roman" w:cs="Times New Roman"/>
                <w:szCs w:val="21"/>
              </w:rPr>
              <w:t>年西藏草原生态修复治理补助资金</w:t>
            </w:r>
            <w:r>
              <w:rPr>
                <w:rFonts w:ascii="Times New Roman" w:hAnsi="Times New Roman" w:cs="Times New Roman"/>
                <w:szCs w:val="21"/>
              </w:rPr>
              <w:t>(</w:t>
            </w:r>
            <w:r>
              <w:rPr>
                <w:rFonts w:ascii="Times New Roman" w:cs="Times New Roman"/>
                <w:szCs w:val="21"/>
              </w:rPr>
              <w:t>提前告知</w:t>
            </w:r>
            <w:r>
              <w:rPr>
                <w:rFonts w:ascii="Times New Roman" w:hAnsi="Times New Roman" w:cs="Times New Roman"/>
                <w:szCs w:val="21"/>
              </w:rPr>
              <w:t>)</w:t>
            </w:r>
            <w:r>
              <w:rPr>
                <w:rFonts w:ascii="Times New Roman" w:cs="Times New Roman"/>
                <w:szCs w:val="21"/>
              </w:rPr>
              <w:t>退化草原生态修复治理工程</w:t>
            </w:r>
          </w:p>
        </w:tc>
        <w:tc>
          <w:tcPr>
            <w:tcW w:w="1830" w:type="dxa"/>
            <w:vAlign w:val="center"/>
          </w:tcPr>
          <w:p w14:paraId="346BC54B">
            <w:pPr>
              <w:jc w:val="center"/>
              <w:rPr>
                <w:rFonts w:ascii="Times New Roman" w:cs="Times New Roman"/>
                <w:szCs w:val="21"/>
              </w:rPr>
            </w:pPr>
            <w:r>
              <w:rPr>
                <w:rFonts w:ascii="Times New Roman" w:cs="Times New Roman"/>
                <w:szCs w:val="21"/>
              </w:rPr>
              <w:t>退化草原修复</w:t>
            </w:r>
          </w:p>
          <w:p w14:paraId="201F1491">
            <w:pPr>
              <w:jc w:val="center"/>
              <w:rPr>
                <w:rFonts w:ascii="Times New Roman" w:hAnsi="Times New Roman" w:cs="Times New Roman"/>
                <w:szCs w:val="21"/>
              </w:rPr>
            </w:pPr>
            <w:r>
              <w:rPr>
                <w:rFonts w:hint="eastAsia" w:ascii="Times New Roman" w:cs="Times New Roman"/>
                <w:szCs w:val="21"/>
              </w:rPr>
              <w:t>（草原改良）</w:t>
            </w:r>
          </w:p>
        </w:tc>
        <w:tc>
          <w:tcPr>
            <w:tcW w:w="1371" w:type="dxa"/>
            <w:vAlign w:val="center"/>
          </w:tcPr>
          <w:p w14:paraId="250FF663">
            <w:pPr>
              <w:jc w:val="center"/>
              <w:rPr>
                <w:rFonts w:ascii="Times New Roman" w:hAnsi="Times New Roman" w:cs="Times New Roman"/>
                <w:szCs w:val="21"/>
              </w:rPr>
            </w:pPr>
            <w:r>
              <w:rPr>
                <w:rFonts w:hint="eastAsia" w:ascii="Times New Roman" w:hAnsi="Times New Roman" w:cs="Times New Roman"/>
                <w:szCs w:val="21"/>
              </w:rPr>
              <w:t>4</w:t>
            </w:r>
          </w:p>
        </w:tc>
        <w:tc>
          <w:tcPr>
            <w:tcW w:w="1220" w:type="dxa"/>
            <w:vAlign w:val="center"/>
          </w:tcPr>
          <w:p w14:paraId="317CC24F">
            <w:pPr>
              <w:jc w:val="center"/>
              <w:rPr>
                <w:rFonts w:ascii="Times New Roman" w:hAnsi="Times New Roman" w:cs="Times New Roman"/>
                <w:szCs w:val="21"/>
              </w:rPr>
            </w:pPr>
            <w:r>
              <w:rPr>
                <w:rFonts w:ascii="Times New Roman" w:hAnsi="Times New Roman" w:cs="Times New Roman"/>
                <w:szCs w:val="21"/>
              </w:rPr>
              <w:t>2145</w:t>
            </w:r>
          </w:p>
        </w:tc>
        <w:tc>
          <w:tcPr>
            <w:tcW w:w="1804" w:type="dxa"/>
            <w:vAlign w:val="center"/>
          </w:tcPr>
          <w:p w14:paraId="189AE330">
            <w:pPr>
              <w:jc w:val="center"/>
              <w:rPr>
                <w:rFonts w:ascii="Times New Roman" w:hAnsi="Times New Roman" w:cs="Times New Roman"/>
                <w:szCs w:val="21"/>
              </w:rPr>
            </w:pPr>
            <w:r>
              <w:rPr>
                <w:rFonts w:ascii="Times New Roman" w:cs="Times New Roman"/>
                <w:szCs w:val="21"/>
              </w:rPr>
              <w:t>卡若区、八宿县</w:t>
            </w:r>
          </w:p>
        </w:tc>
      </w:tr>
      <w:tr w14:paraId="59829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restart"/>
            <w:vAlign w:val="center"/>
          </w:tcPr>
          <w:p w14:paraId="1A2C6715">
            <w:pPr>
              <w:jc w:val="center"/>
              <w:rPr>
                <w:rFonts w:ascii="Times New Roman" w:hAnsi="Times New Roman" w:cs="Times New Roman"/>
                <w:szCs w:val="21"/>
              </w:rPr>
            </w:pPr>
            <w:r>
              <w:rPr>
                <w:rFonts w:ascii="Times New Roman" w:hAnsi="Times New Roman" w:cs="Times New Roman"/>
                <w:szCs w:val="21"/>
              </w:rPr>
              <w:t>2021</w:t>
            </w:r>
            <w:r>
              <w:rPr>
                <w:rFonts w:ascii="Times New Roman" w:cs="Times New Roman"/>
                <w:szCs w:val="21"/>
              </w:rPr>
              <w:t>年重点区域生态保护和修复工程</w:t>
            </w:r>
          </w:p>
        </w:tc>
        <w:tc>
          <w:tcPr>
            <w:tcW w:w="1830" w:type="dxa"/>
            <w:vAlign w:val="center"/>
          </w:tcPr>
          <w:p w14:paraId="284221D3">
            <w:pPr>
              <w:jc w:val="center"/>
              <w:rPr>
                <w:rFonts w:ascii="Times New Roman" w:hAnsi="Times New Roman" w:cs="Times New Roman"/>
                <w:szCs w:val="21"/>
              </w:rPr>
            </w:pPr>
            <w:r>
              <w:rPr>
                <w:rFonts w:ascii="Times New Roman" w:cs="Times New Roman"/>
                <w:szCs w:val="21"/>
              </w:rPr>
              <w:t>围栏封育</w:t>
            </w:r>
          </w:p>
        </w:tc>
        <w:tc>
          <w:tcPr>
            <w:tcW w:w="1371" w:type="dxa"/>
            <w:vAlign w:val="center"/>
          </w:tcPr>
          <w:p w14:paraId="69435750">
            <w:pPr>
              <w:jc w:val="center"/>
              <w:rPr>
                <w:rFonts w:ascii="Times New Roman" w:hAnsi="Times New Roman" w:cs="Times New Roman"/>
                <w:szCs w:val="21"/>
              </w:rPr>
            </w:pPr>
            <w:r>
              <w:rPr>
                <w:rFonts w:ascii="Times New Roman" w:hAnsi="Times New Roman" w:cs="Times New Roman"/>
                <w:szCs w:val="21"/>
              </w:rPr>
              <w:t>13</w:t>
            </w:r>
            <w:r>
              <w:rPr>
                <w:rFonts w:ascii="Times New Roman" w:cs="Times New Roman"/>
                <w:szCs w:val="21"/>
              </w:rPr>
              <w:t>（</w:t>
            </w:r>
            <w:r>
              <w:rPr>
                <w:rFonts w:ascii="Times New Roman" w:hAnsi="Times New Roman" w:cs="Times New Roman"/>
                <w:szCs w:val="21"/>
              </w:rPr>
              <w:t>26</w:t>
            </w:r>
            <w:r>
              <w:rPr>
                <w:rFonts w:ascii="Times New Roman" w:cs="Times New Roman"/>
                <w:szCs w:val="21"/>
              </w:rPr>
              <w:t>万米）</w:t>
            </w:r>
          </w:p>
        </w:tc>
        <w:tc>
          <w:tcPr>
            <w:tcW w:w="1220" w:type="dxa"/>
            <w:vMerge w:val="restart"/>
            <w:vAlign w:val="center"/>
          </w:tcPr>
          <w:p w14:paraId="43431FB1">
            <w:pPr>
              <w:jc w:val="center"/>
              <w:rPr>
                <w:rFonts w:ascii="Times New Roman" w:hAnsi="Times New Roman" w:cs="Times New Roman"/>
                <w:szCs w:val="21"/>
              </w:rPr>
            </w:pPr>
            <w:r>
              <w:rPr>
                <w:rFonts w:ascii="Times New Roman" w:hAnsi="Times New Roman" w:cs="Times New Roman"/>
                <w:szCs w:val="21"/>
              </w:rPr>
              <w:t>7722</w:t>
            </w:r>
          </w:p>
        </w:tc>
        <w:tc>
          <w:tcPr>
            <w:tcW w:w="1804" w:type="dxa"/>
            <w:vMerge w:val="restart"/>
            <w:vAlign w:val="center"/>
          </w:tcPr>
          <w:p w14:paraId="52724F98">
            <w:pPr>
              <w:jc w:val="center"/>
              <w:rPr>
                <w:rFonts w:ascii="Times New Roman" w:hAnsi="Times New Roman" w:cs="Times New Roman"/>
                <w:szCs w:val="21"/>
              </w:rPr>
            </w:pPr>
            <w:r>
              <w:rPr>
                <w:rFonts w:ascii="Times New Roman" w:cs="Times New Roman"/>
                <w:szCs w:val="21"/>
              </w:rPr>
              <w:t>卡若区、八宿县、江达县</w:t>
            </w:r>
          </w:p>
        </w:tc>
      </w:tr>
      <w:tr w14:paraId="36B56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14" w:type="dxa"/>
            <w:vMerge w:val="continue"/>
            <w:vAlign w:val="center"/>
          </w:tcPr>
          <w:p w14:paraId="3F7F3A7A">
            <w:pPr>
              <w:jc w:val="center"/>
              <w:rPr>
                <w:rFonts w:ascii="Times New Roman" w:hAnsi="Times New Roman" w:cs="Times New Roman"/>
                <w:szCs w:val="21"/>
              </w:rPr>
            </w:pPr>
          </w:p>
        </w:tc>
        <w:tc>
          <w:tcPr>
            <w:tcW w:w="1830" w:type="dxa"/>
            <w:vAlign w:val="center"/>
          </w:tcPr>
          <w:p w14:paraId="4D5C6C06">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5569FD11">
            <w:pPr>
              <w:jc w:val="center"/>
              <w:rPr>
                <w:rFonts w:ascii="Times New Roman" w:hAnsi="Times New Roman" w:cs="Times New Roman"/>
                <w:szCs w:val="21"/>
              </w:rPr>
            </w:pPr>
            <w:r>
              <w:rPr>
                <w:rFonts w:ascii="Times New Roman" w:hAnsi="Times New Roman" w:cs="Times New Roman"/>
                <w:szCs w:val="21"/>
              </w:rPr>
              <w:t>20.6</w:t>
            </w:r>
          </w:p>
        </w:tc>
        <w:tc>
          <w:tcPr>
            <w:tcW w:w="1220" w:type="dxa"/>
            <w:vMerge w:val="continue"/>
            <w:vAlign w:val="center"/>
          </w:tcPr>
          <w:p w14:paraId="3E1AE890">
            <w:pPr>
              <w:jc w:val="center"/>
              <w:rPr>
                <w:rFonts w:ascii="Times New Roman" w:hAnsi="Times New Roman" w:cs="Times New Roman"/>
                <w:szCs w:val="21"/>
              </w:rPr>
            </w:pPr>
          </w:p>
        </w:tc>
        <w:tc>
          <w:tcPr>
            <w:tcW w:w="1804" w:type="dxa"/>
            <w:vMerge w:val="continue"/>
            <w:vAlign w:val="center"/>
          </w:tcPr>
          <w:p w14:paraId="3ADB2578">
            <w:pPr>
              <w:jc w:val="center"/>
              <w:rPr>
                <w:rFonts w:ascii="Times New Roman" w:hAnsi="Times New Roman" w:cs="Times New Roman"/>
                <w:szCs w:val="21"/>
              </w:rPr>
            </w:pPr>
          </w:p>
        </w:tc>
      </w:tr>
      <w:tr w14:paraId="4CDB7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4043F713">
            <w:pPr>
              <w:jc w:val="center"/>
              <w:rPr>
                <w:rFonts w:ascii="Times New Roman" w:hAnsi="Times New Roman" w:cs="Times New Roman"/>
                <w:szCs w:val="21"/>
              </w:rPr>
            </w:pPr>
          </w:p>
        </w:tc>
        <w:tc>
          <w:tcPr>
            <w:tcW w:w="1830" w:type="dxa"/>
            <w:vAlign w:val="center"/>
          </w:tcPr>
          <w:p w14:paraId="77B9BAC1">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469CE169">
            <w:pPr>
              <w:jc w:val="center"/>
              <w:rPr>
                <w:rFonts w:ascii="Times New Roman" w:hAnsi="Times New Roman" w:cs="Times New Roman"/>
                <w:szCs w:val="21"/>
              </w:rPr>
            </w:pPr>
            <w:r>
              <w:rPr>
                <w:rFonts w:ascii="Times New Roman" w:hAnsi="Times New Roman" w:cs="Times New Roman"/>
                <w:szCs w:val="21"/>
              </w:rPr>
              <w:t>18</w:t>
            </w:r>
          </w:p>
        </w:tc>
        <w:tc>
          <w:tcPr>
            <w:tcW w:w="1220" w:type="dxa"/>
            <w:vMerge w:val="continue"/>
            <w:vAlign w:val="center"/>
          </w:tcPr>
          <w:p w14:paraId="71D08D85">
            <w:pPr>
              <w:jc w:val="center"/>
              <w:rPr>
                <w:rFonts w:ascii="Times New Roman" w:hAnsi="Times New Roman" w:cs="Times New Roman"/>
                <w:szCs w:val="21"/>
              </w:rPr>
            </w:pPr>
          </w:p>
        </w:tc>
        <w:tc>
          <w:tcPr>
            <w:tcW w:w="1804" w:type="dxa"/>
            <w:vMerge w:val="continue"/>
            <w:vAlign w:val="center"/>
          </w:tcPr>
          <w:p w14:paraId="17AE8622">
            <w:pPr>
              <w:jc w:val="center"/>
              <w:rPr>
                <w:rFonts w:ascii="Times New Roman" w:hAnsi="Times New Roman" w:cs="Times New Roman"/>
                <w:szCs w:val="21"/>
              </w:rPr>
            </w:pPr>
          </w:p>
        </w:tc>
      </w:tr>
      <w:tr w14:paraId="544C9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Align w:val="center"/>
          </w:tcPr>
          <w:p w14:paraId="01649F59">
            <w:pPr>
              <w:jc w:val="center"/>
              <w:rPr>
                <w:rFonts w:ascii="Times New Roman" w:hAnsi="Times New Roman" w:cs="Times New Roman"/>
                <w:szCs w:val="21"/>
              </w:rPr>
            </w:pPr>
            <w:r>
              <w:rPr>
                <w:rFonts w:ascii="Times New Roman" w:hAnsi="Times New Roman" w:cs="Times New Roman"/>
                <w:szCs w:val="21"/>
              </w:rPr>
              <w:t>2022</w:t>
            </w:r>
            <w:r>
              <w:rPr>
                <w:rFonts w:ascii="Times New Roman" w:cs="Times New Roman"/>
                <w:szCs w:val="21"/>
              </w:rPr>
              <w:t>年西藏草原生态修复治理补助资金退化草原生态修复治理项目</w:t>
            </w:r>
          </w:p>
        </w:tc>
        <w:tc>
          <w:tcPr>
            <w:tcW w:w="1830" w:type="dxa"/>
            <w:vAlign w:val="center"/>
          </w:tcPr>
          <w:p w14:paraId="16D687F6">
            <w:pPr>
              <w:jc w:val="center"/>
              <w:rPr>
                <w:rFonts w:ascii="Times New Roman" w:hAnsi="Times New Roman" w:cs="Times New Roman"/>
                <w:szCs w:val="21"/>
              </w:rPr>
            </w:pPr>
            <w:r>
              <w:rPr>
                <w:rFonts w:ascii="Times New Roman" w:cs="Times New Roman"/>
                <w:szCs w:val="21"/>
              </w:rPr>
              <w:t>退化草原修复</w:t>
            </w:r>
          </w:p>
        </w:tc>
        <w:tc>
          <w:tcPr>
            <w:tcW w:w="1371" w:type="dxa"/>
            <w:vAlign w:val="center"/>
          </w:tcPr>
          <w:p w14:paraId="25641395">
            <w:pPr>
              <w:jc w:val="center"/>
              <w:rPr>
                <w:rFonts w:ascii="Times New Roman" w:hAnsi="Times New Roman" w:cs="Times New Roman"/>
                <w:szCs w:val="21"/>
              </w:rPr>
            </w:pPr>
            <w:r>
              <w:rPr>
                <w:rFonts w:ascii="Times New Roman" w:hAnsi="Times New Roman" w:cs="Times New Roman"/>
                <w:szCs w:val="21"/>
              </w:rPr>
              <w:t>7</w:t>
            </w:r>
          </w:p>
        </w:tc>
        <w:tc>
          <w:tcPr>
            <w:tcW w:w="1220" w:type="dxa"/>
            <w:vAlign w:val="center"/>
          </w:tcPr>
          <w:p w14:paraId="2D955E2E">
            <w:pPr>
              <w:jc w:val="center"/>
              <w:rPr>
                <w:rFonts w:ascii="Times New Roman" w:hAnsi="Times New Roman" w:cs="Times New Roman"/>
                <w:szCs w:val="21"/>
              </w:rPr>
            </w:pPr>
            <w:r>
              <w:rPr>
                <w:rFonts w:ascii="Times New Roman" w:hAnsi="Times New Roman" w:cs="Times New Roman"/>
                <w:szCs w:val="21"/>
              </w:rPr>
              <w:t>1540</w:t>
            </w:r>
          </w:p>
        </w:tc>
        <w:tc>
          <w:tcPr>
            <w:tcW w:w="1804" w:type="dxa"/>
            <w:vAlign w:val="center"/>
          </w:tcPr>
          <w:p w14:paraId="4ED41D94">
            <w:pPr>
              <w:jc w:val="center"/>
              <w:rPr>
                <w:rFonts w:ascii="Times New Roman" w:hAnsi="Times New Roman" w:cs="Times New Roman"/>
                <w:szCs w:val="21"/>
              </w:rPr>
            </w:pPr>
          </w:p>
        </w:tc>
      </w:tr>
      <w:tr w14:paraId="0BE09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3014" w:type="dxa"/>
            <w:vMerge w:val="restart"/>
            <w:vAlign w:val="center"/>
          </w:tcPr>
          <w:p w14:paraId="58FB2AF2">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年全区草原生态修复治理补助项目（中央财政林业草原改革发展资金第一批）退化草原修复治理项目</w:t>
            </w:r>
          </w:p>
        </w:tc>
        <w:tc>
          <w:tcPr>
            <w:tcW w:w="1830" w:type="dxa"/>
            <w:vAlign w:val="center"/>
          </w:tcPr>
          <w:p w14:paraId="5CD0B3DA">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3CD11AE4">
            <w:pPr>
              <w:jc w:val="center"/>
              <w:rPr>
                <w:rFonts w:ascii="Times New Roman" w:hAnsi="Times New Roman" w:cs="Times New Roman"/>
                <w:szCs w:val="21"/>
              </w:rPr>
            </w:pPr>
            <w:r>
              <w:rPr>
                <w:rFonts w:ascii="Times New Roman" w:hAnsi="Times New Roman" w:cs="Times New Roman"/>
                <w:szCs w:val="21"/>
              </w:rPr>
              <w:t>5.8</w:t>
            </w:r>
          </w:p>
        </w:tc>
        <w:tc>
          <w:tcPr>
            <w:tcW w:w="1220" w:type="dxa"/>
            <w:vMerge w:val="restart"/>
            <w:vAlign w:val="center"/>
          </w:tcPr>
          <w:p w14:paraId="56A1DDF7">
            <w:pPr>
              <w:jc w:val="center"/>
              <w:rPr>
                <w:rFonts w:ascii="Times New Roman" w:hAnsi="Times New Roman" w:cs="Times New Roman"/>
                <w:szCs w:val="21"/>
              </w:rPr>
            </w:pPr>
            <w:r>
              <w:rPr>
                <w:rFonts w:ascii="Times New Roman" w:hAnsi="Times New Roman" w:cs="Times New Roman"/>
                <w:szCs w:val="21"/>
              </w:rPr>
              <w:t>5215</w:t>
            </w:r>
          </w:p>
        </w:tc>
        <w:tc>
          <w:tcPr>
            <w:tcW w:w="1804" w:type="dxa"/>
            <w:vMerge w:val="restart"/>
            <w:vAlign w:val="center"/>
          </w:tcPr>
          <w:p w14:paraId="321BE8BB">
            <w:pPr>
              <w:jc w:val="center"/>
              <w:rPr>
                <w:rFonts w:ascii="Times New Roman" w:hAnsi="Times New Roman" w:cs="Times New Roman"/>
                <w:szCs w:val="21"/>
              </w:rPr>
            </w:pPr>
            <w:r>
              <w:rPr>
                <w:rFonts w:ascii="Times New Roman" w:hAnsi="Calibri" w:eastAsia="宋体" w:cs="Times New Roman"/>
                <w:szCs w:val="21"/>
              </w:rPr>
              <w:t>卡若区</w:t>
            </w:r>
            <w:r>
              <w:rPr>
                <w:rFonts w:ascii="Times New Roman" w:cs="Times New Roman"/>
                <w:szCs w:val="21"/>
              </w:rPr>
              <w:t>、贡觉县、左贡县、边坝县</w:t>
            </w:r>
          </w:p>
        </w:tc>
      </w:tr>
      <w:tr w14:paraId="6232D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2758292E">
            <w:pPr>
              <w:jc w:val="center"/>
              <w:rPr>
                <w:rFonts w:ascii="Times New Roman" w:hAnsi="Times New Roman" w:cs="Times New Roman"/>
                <w:szCs w:val="21"/>
              </w:rPr>
            </w:pPr>
          </w:p>
        </w:tc>
        <w:tc>
          <w:tcPr>
            <w:tcW w:w="1830" w:type="dxa"/>
            <w:vAlign w:val="center"/>
          </w:tcPr>
          <w:p w14:paraId="5FE81D39">
            <w:pPr>
              <w:jc w:val="center"/>
              <w:rPr>
                <w:rFonts w:ascii="Times New Roman" w:hAnsi="Times New Roman" w:cs="Times New Roman"/>
                <w:szCs w:val="21"/>
              </w:rPr>
            </w:pPr>
            <w:r>
              <w:rPr>
                <w:rFonts w:ascii="Times New Roman" w:hAnsi="Calibri" w:eastAsia="宋体" w:cs="Times New Roman"/>
                <w:szCs w:val="21"/>
              </w:rPr>
              <w:t>人工种草</w:t>
            </w:r>
          </w:p>
        </w:tc>
        <w:tc>
          <w:tcPr>
            <w:tcW w:w="1371" w:type="dxa"/>
            <w:vAlign w:val="center"/>
          </w:tcPr>
          <w:p w14:paraId="1FC440BC">
            <w:pPr>
              <w:jc w:val="center"/>
              <w:rPr>
                <w:rFonts w:ascii="Times New Roman" w:hAnsi="Times New Roman" w:cs="Times New Roman"/>
                <w:szCs w:val="21"/>
              </w:rPr>
            </w:pPr>
            <w:r>
              <w:rPr>
                <w:rFonts w:ascii="Times New Roman" w:hAnsi="Times New Roman" w:cs="Times New Roman"/>
                <w:szCs w:val="21"/>
              </w:rPr>
              <w:t>9.1</w:t>
            </w:r>
          </w:p>
        </w:tc>
        <w:tc>
          <w:tcPr>
            <w:tcW w:w="1220" w:type="dxa"/>
            <w:vMerge w:val="continue"/>
            <w:vAlign w:val="center"/>
          </w:tcPr>
          <w:p w14:paraId="7D684E55">
            <w:pPr>
              <w:jc w:val="center"/>
              <w:rPr>
                <w:rFonts w:ascii="Times New Roman" w:hAnsi="Times New Roman" w:cs="Times New Roman"/>
                <w:szCs w:val="21"/>
              </w:rPr>
            </w:pPr>
          </w:p>
        </w:tc>
        <w:tc>
          <w:tcPr>
            <w:tcW w:w="1804" w:type="dxa"/>
            <w:vMerge w:val="continue"/>
            <w:vAlign w:val="center"/>
          </w:tcPr>
          <w:p w14:paraId="5127B42F">
            <w:pPr>
              <w:jc w:val="center"/>
              <w:rPr>
                <w:rFonts w:ascii="Times New Roman" w:hAnsi="Times New Roman" w:cs="Times New Roman"/>
                <w:szCs w:val="21"/>
              </w:rPr>
            </w:pPr>
          </w:p>
        </w:tc>
      </w:tr>
      <w:tr w14:paraId="74CC2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3014" w:type="dxa"/>
            <w:vMerge w:val="restart"/>
            <w:vAlign w:val="center"/>
          </w:tcPr>
          <w:p w14:paraId="0E487823">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年全区草原生态修复治理补助项目（中央财政转移支付资金第二批）退化草原修复治理项目</w:t>
            </w:r>
          </w:p>
        </w:tc>
        <w:tc>
          <w:tcPr>
            <w:tcW w:w="1830" w:type="dxa"/>
            <w:vAlign w:val="center"/>
          </w:tcPr>
          <w:p w14:paraId="36A1149B">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31E87FD5">
            <w:pPr>
              <w:jc w:val="center"/>
              <w:rPr>
                <w:rFonts w:ascii="Times New Roman" w:hAnsi="Times New Roman" w:cs="Times New Roman"/>
                <w:szCs w:val="21"/>
              </w:rPr>
            </w:pPr>
            <w:r>
              <w:rPr>
                <w:rFonts w:ascii="Times New Roman" w:hAnsi="Times New Roman" w:cs="Times New Roman"/>
                <w:szCs w:val="21"/>
              </w:rPr>
              <w:t>11.8</w:t>
            </w:r>
          </w:p>
        </w:tc>
        <w:tc>
          <w:tcPr>
            <w:tcW w:w="1220" w:type="dxa"/>
            <w:vMerge w:val="restart"/>
            <w:vAlign w:val="center"/>
          </w:tcPr>
          <w:p w14:paraId="10B3A15C">
            <w:pPr>
              <w:jc w:val="center"/>
              <w:rPr>
                <w:rFonts w:ascii="Times New Roman" w:hAnsi="Times New Roman" w:cs="Times New Roman"/>
                <w:szCs w:val="21"/>
              </w:rPr>
            </w:pPr>
            <w:r>
              <w:rPr>
                <w:rFonts w:ascii="Times New Roman" w:hAnsi="Times New Roman" w:cs="Times New Roman"/>
                <w:szCs w:val="21"/>
              </w:rPr>
              <w:t>3236</w:t>
            </w:r>
          </w:p>
        </w:tc>
        <w:tc>
          <w:tcPr>
            <w:tcW w:w="1804" w:type="dxa"/>
            <w:vMerge w:val="restart"/>
            <w:vAlign w:val="center"/>
          </w:tcPr>
          <w:p w14:paraId="3028192C">
            <w:pPr>
              <w:jc w:val="center"/>
              <w:rPr>
                <w:rFonts w:ascii="Times New Roman" w:hAnsi="Times New Roman" w:cs="Times New Roman"/>
                <w:szCs w:val="21"/>
              </w:rPr>
            </w:pPr>
            <w:r>
              <w:rPr>
                <w:rFonts w:ascii="Times New Roman" w:hAnsi="Calibri" w:eastAsia="宋体" w:cs="Times New Roman"/>
                <w:szCs w:val="21"/>
              </w:rPr>
              <w:t>卡若区</w:t>
            </w:r>
            <w:r>
              <w:rPr>
                <w:rFonts w:ascii="Times New Roman" w:cs="Times New Roman"/>
                <w:szCs w:val="21"/>
              </w:rPr>
              <w:t>、贡觉县、丁青县、芒康县、边坝县</w:t>
            </w:r>
          </w:p>
        </w:tc>
      </w:tr>
      <w:tr w14:paraId="26BE0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3082CD0C">
            <w:pPr>
              <w:jc w:val="center"/>
              <w:rPr>
                <w:rFonts w:ascii="Times New Roman" w:hAnsi="Times New Roman" w:cs="Times New Roman"/>
                <w:szCs w:val="21"/>
              </w:rPr>
            </w:pPr>
          </w:p>
        </w:tc>
        <w:tc>
          <w:tcPr>
            <w:tcW w:w="1830" w:type="dxa"/>
            <w:vAlign w:val="center"/>
          </w:tcPr>
          <w:p w14:paraId="377FA910">
            <w:pPr>
              <w:jc w:val="center"/>
              <w:rPr>
                <w:rFonts w:ascii="Times New Roman" w:hAnsi="Times New Roman" w:cs="Times New Roman"/>
                <w:szCs w:val="21"/>
              </w:rPr>
            </w:pPr>
            <w:r>
              <w:rPr>
                <w:rFonts w:ascii="Times New Roman" w:hAnsi="Calibri" w:eastAsia="宋体" w:cs="Times New Roman"/>
                <w:szCs w:val="21"/>
              </w:rPr>
              <w:t>人工种草</w:t>
            </w:r>
          </w:p>
        </w:tc>
        <w:tc>
          <w:tcPr>
            <w:tcW w:w="1371" w:type="dxa"/>
            <w:vAlign w:val="center"/>
          </w:tcPr>
          <w:p w14:paraId="58078B2C">
            <w:pPr>
              <w:jc w:val="center"/>
              <w:rPr>
                <w:rFonts w:ascii="Times New Roman" w:hAnsi="Times New Roman" w:cs="Times New Roman"/>
                <w:szCs w:val="21"/>
              </w:rPr>
            </w:pPr>
            <w:r>
              <w:rPr>
                <w:rFonts w:ascii="Times New Roman" w:hAnsi="Times New Roman" w:cs="Times New Roman"/>
                <w:szCs w:val="21"/>
              </w:rPr>
              <w:t>14.3</w:t>
            </w:r>
          </w:p>
        </w:tc>
        <w:tc>
          <w:tcPr>
            <w:tcW w:w="1220" w:type="dxa"/>
            <w:vMerge w:val="continue"/>
            <w:vAlign w:val="center"/>
          </w:tcPr>
          <w:p w14:paraId="2AB4D25D">
            <w:pPr>
              <w:jc w:val="center"/>
              <w:rPr>
                <w:rFonts w:ascii="Times New Roman" w:hAnsi="Times New Roman" w:cs="Times New Roman"/>
                <w:szCs w:val="21"/>
              </w:rPr>
            </w:pPr>
          </w:p>
        </w:tc>
        <w:tc>
          <w:tcPr>
            <w:tcW w:w="1804" w:type="dxa"/>
            <w:vMerge w:val="continue"/>
            <w:vAlign w:val="center"/>
          </w:tcPr>
          <w:p w14:paraId="6EDD69FA">
            <w:pPr>
              <w:jc w:val="center"/>
              <w:rPr>
                <w:rFonts w:ascii="Times New Roman" w:hAnsi="Times New Roman" w:cs="Times New Roman"/>
                <w:szCs w:val="21"/>
              </w:rPr>
            </w:pPr>
          </w:p>
        </w:tc>
      </w:tr>
      <w:tr w14:paraId="4C2AC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014" w:type="dxa"/>
            <w:vMerge w:val="restart"/>
            <w:vAlign w:val="center"/>
          </w:tcPr>
          <w:p w14:paraId="62CE425D">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年重点区域生态保护和修复工程（草原）项目</w:t>
            </w:r>
          </w:p>
        </w:tc>
        <w:tc>
          <w:tcPr>
            <w:tcW w:w="1830" w:type="dxa"/>
            <w:vAlign w:val="center"/>
          </w:tcPr>
          <w:p w14:paraId="02CC9622">
            <w:pPr>
              <w:jc w:val="center"/>
              <w:rPr>
                <w:rFonts w:ascii="Times New Roman" w:hAnsi="Times New Roman" w:cs="Times New Roman"/>
                <w:szCs w:val="21"/>
              </w:rPr>
            </w:pPr>
            <w:r>
              <w:rPr>
                <w:rFonts w:ascii="Times New Roman" w:cs="Times New Roman"/>
                <w:szCs w:val="21"/>
              </w:rPr>
              <w:t>围栏封育</w:t>
            </w:r>
          </w:p>
        </w:tc>
        <w:tc>
          <w:tcPr>
            <w:tcW w:w="1371" w:type="dxa"/>
            <w:vAlign w:val="center"/>
          </w:tcPr>
          <w:p w14:paraId="3F69C01B">
            <w:pPr>
              <w:jc w:val="center"/>
              <w:rPr>
                <w:rFonts w:ascii="Times New Roman" w:hAnsi="Times New Roman" w:cs="Times New Roman"/>
                <w:szCs w:val="21"/>
              </w:rPr>
            </w:pPr>
            <w:r>
              <w:rPr>
                <w:rFonts w:ascii="Times New Roman" w:hAnsi="Times New Roman" w:cs="Times New Roman"/>
                <w:szCs w:val="21"/>
              </w:rPr>
              <w:t>20</w:t>
            </w:r>
            <w:r>
              <w:rPr>
                <w:rFonts w:ascii="Times New Roman" w:cs="Times New Roman"/>
                <w:szCs w:val="21"/>
              </w:rPr>
              <w:t>万米</w:t>
            </w:r>
          </w:p>
        </w:tc>
        <w:tc>
          <w:tcPr>
            <w:tcW w:w="1220" w:type="dxa"/>
            <w:vMerge w:val="restart"/>
            <w:vAlign w:val="center"/>
          </w:tcPr>
          <w:p w14:paraId="2E558A16">
            <w:pPr>
              <w:jc w:val="center"/>
              <w:rPr>
                <w:rFonts w:ascii="Times New Roman" w:hAnsi="Times New Roman" w:cs="Times New Roman"/>
                <w:szCs w:val="21"/>
              </w:rPr>
            </w:pPr>
            <w:r>
              <w:rPr>
                <w:rFonts w:ascii="Times New Roman" w:hAnsi="Times New Roman" w:cs="Times New Roman"/>
                <w:szCs w:val="21"/>
              </w:rPr>
              <w:t>10890</w:t>
            </w:r>
          </w:p>
        </w:tc>
        <w:tc>
          <w:tcPr>
            <w:tcW w:w="1804" w:type="dxa"/>
            <w:vMerge w:val="restart"/>
            <w:vAlign w:val="center"/>
          </w:tcPr>
          <w:p w14:paraId="2A589FA5">
            <w:pPr>
              <w:jc w:val="center"/>
              <w:rPr>
                <w:rFonts w:ascii="Times New Roman" w:hAnsi="Times New Roman" w:cs="Times New Roman"/>
                <w:szCs w:val="21"/>
              </w:rPr>
            </w:pPr>
            <w:r>
              <w:rPr>
                <w:rFonts w:ascii="Times New Roman" w:hAnsi="Calibri" w:eastAsia="宋体" w:cs="Times New Roman"/>
                <w:szCs w:val="21"/>
              </w:rPr>
              <w:t>卡若区</w:t>
            </w:r>
            <w:r>
              <w:rPr>
                <w:rFonts w:ascii="Times New Roman" w:cs="Times New Roman"/>
                <w:szCs w:val="21"/>
              </w:rPr>
              <w:t>、江达县、贡觉县、八宿县、芒康县、洛隆县、边坝县</w:t>
            </w:r>
          </w:p>
        </w:tc>
      </w:tr>
      <w:tr w14:paraId="3828F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3014" w:type="dxa"/>
            <w:vMerge w:val="continue"/>
            <w:vAlign w:val="center"/>
          </w:tcPr>
          <w:p w14:paraId="059C5979">
            <w:pPr>
              <w:jc w:val="center"/>
              <w:rPr>
                <w:rFonts w:ascii="Times New Roman" w:hAnsi="Times New Roman" w:cs="Times New Roman"/>
                <w:szCs w:val="21"/>
              </w:rPr>
            </w:pPr>
          </w:p>
        </w:tc>
        <w:tc>
          <w:tcPr>
            <w:tcW w:w="1830" w:type="dxa"/>
            <w:vAlign w:val="center"/>
          </w:tcPr>
          <w:p w14:paraId="436438E8">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5ABB41AA">
            <w:pPr>
              <w:jc w:val="center"/>
              <w:rPr>
                <w:rFonts w:ascii="Times New Roman" w:hAnsi="Times New Roman" w:cs="Times New Roman"/>
                <w:szCs w:val="21"/>
              </w:rPr>
            </w:pPr>
            <w:r>
              <w:rPr>
                <w:rFonts w:ascii="Times New Roman" w:hAnsi="Times New Roman" w:cs="Times New Roman"/>
                <w:szCs w:val="21"/>
              </w:rPr>
              <w:t>27</w:t>
            </w:r>
          </w:p>
        </w:tc>
        <w:tc>
          <w:tcPr>
            <w:tcW w:w="1220" w:type="dxa"/>
            <w:vMerge w:val="continue"/>
            <w:vAlign w:val="center"/>
          </w:tcPr>
          <w:p w14:paraId="475B8911">
            <w:pPr>
              <w:jc w:val="center"/>
              <w:rPr>
                <w:rFonts w:ascii="Times New Roman" w:hAnsi="Times New Roman" w:cs="Times New Roman"/>
                <w:szCs w:val="21"/>
              </w:rPr>
            </w:pPr>
          </w:p>
        </w:tc>
        <w:tc>
          <w:tcPr>
            <w:tcW w:w="1804" w:type="dxa"/>
            <w:vMerge w:val="continue"/>
            <w:vAlign w:val="center"/>
          </w:tcPr>
          <w:p w14:paraId="41CFD8B0">
            <w:pPr>
              <w:jc w:val="center"/>
              <w:rPr>
                <w:rFonts w:ascii="Times New Roman" w:hAnsi="Times New Roman" w:cs="Times New Roman"/>
                <w:szCs w:val="21"/>
              </w:rPr>
            </w:pPr>
          </w:p>
        </w:tc>
      </w:tr>
      <w:tr w14:paraId="7BF5A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564A3CEA">
            <w:pPr>
              <w:jc w:val="center"/>
              <w:rPr>
                <w:rFonts w:ascii="Times New Roman" w:hAnsi="Times New Roman" w:cs="Times New Roman"/>
                <w:szCs w:val="21"/>
              </w:rPr>
            </w:pPr>
          </w:p>
        </w:tc>
        <w:tc>
          <w:tcPr>
            <w:tcW w:w="1830" w:type="dxa"/>
            <w:vAlign w:val="center"/>
          </w:tcPr>
          <w:p w14:paraId="3DB5B001">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28EB193D">
            <w:pPr>
              <w:jc w:val="center"/>
              <w:rPr>
                <w:rFonts w:ascii="Times New Roman" w:hAnsi="Times New Roman" w:cs="Times New Roman"/>
                <w:szCs w:val="21"/>
              </w:rPr>
            </w:pPr>
            <w:r>
              <w:rPr>
                <w:rFonts w:ascii="Times New Roman" w:hAnsi="Times New Roman" w:cs="Times New Roman"/>
                <w:szCs w:val="21"/>
              </w:rPr>
              <w:t>19</w:t>
            </w:r>
          </w:p>
        </w:tc>
        <w:tc>
          <w:tcPr>
            <w:tcW w:w="1220" w:type="dxa"/>
            <w:vMerge w:val="continue"/>
            <w:vAlign w:val="center"/>
          </w:tcPr>
          <w:p w14:paraId="34C74439">
            <w:pPr>
              <w:jc w:val="center"/>
              <w:rPr>
                <w:rFonts w:ascii="Times New Roman" w:hAnsi="Times New Roman" w:cs="Times New Roman"/>
                <w:szCs w:val="21"/>
              </w:rPr>
            </w:pPr>
          </w:p>
        </w:tc>
        <w:tc>
          <w:tcPr>
            <w:tcW w:w="1804" w:type="dxa"/>
            <w:vMerge w:val="continue"/>
            <w:vAlign w:val="center"/>
          </w:tcPr>
          <w:p w14:paraId="7C06E377">
            <w:pPr>
              <w:jc w:val="center"/>
              <w:rPr>
                <w:rFonts w:ascii="Times New Roman" w:hAnsi="Times New Roman" w:cs="Times New Roman"/>
                <w:szCs w:val="21"/>
              </w:rPr>
            </w:pPr>
          </w:p>
        </w:tc>
      </w:tr>
      <w:tr w14:paraId="35980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3014" w:type="dxa"/>
            <w:vMerge w:val="restart"/>
            <w:vAlign w:val="center"/>
          </w:tcPr>
          <w:p w14:paraId="1BCE4C5D">
            <w:pPr>
              <w:jc w:val="center"/>
              <w:rPr>
                <w:rFonts w:ascii="Times New Roman" w:hAnsi="Times New Roman" w:cs="Times New Roman"/>
                <w:szCs w:val="21"/>
              </w:rPr>
            </w:pPr>
            <w:r>
              <w:rPr>
                <w:rFonts w:ascii="Times New Roman" w:hAnsi="Times New Roman" w:cs="Times New Roman"/>
                <w:szCs w:val="21"/>
              </w:rPr>
              <w:t>2023</w:t>
            </w:r>
            <w:r>
              <w:rPr>
                <w:rFonts w:ascii="Times New Roman" w:cs="Times New Roman"/>
                <w:szCs w:val="21"/>
              </w:rPr>
              <w:t>年藏东南高寒林区生态保护与综合治理项目</w:t>
            </w:r>
          </w:p>
        </w:tc>
        <w:tc>
          <w:tcPr>
            <w:tcW w:w="1830" w:type="dxa"/>
            <w:vAlign w:val="center"/>
          </w:tcPr>
          <w:p w14:paraId="684F77B2">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2AEDE0CB">
            <w:pPr>
              <w:jc w:val="center"/>
              <w:rPr>
                <w:rFonts w:ascii="Times New Roman" w:hAnsi="Times New Roman" w:cs="Times New Roman"/>
                <w:szCs w:val="21"/>
              </w:rPr>
            </w:pPr>
            <w:r>
              <w:rPr>
                <w:rFonts w:ascii="Times New Roman" w:hAnsi="Times New Roman" w:cs="Times New Roman"/>
                <w:szCs w:val="21"/>
              </w:rPr>
              <w:t>21.54</w:t>
            </w:r>
          </w:p>
        </w:tc>
        <w:tc>
          <w:tcPr>
            <w:tcW w:w="1220" w:type="dxa"/>
            <w:vMerge w:val="restart"/>
            <w:vAlign w:val="center"/>
          </w:tcPr>
          <w:p w14:paraId="5FEDB120">
            <w:pPr>
              <w:jc w:val="center"/>
              <w:rPr>
                <w:rFonts w:ascii="Times New Roman" w:hAnsi="Times New Roman" w:cs="Times New Roman"/>
                <w:szCs w:val="21"/>
              </w:rPr>
            </w:pPr>
            <w:r>
              <w:rPr>
                <w:rFonts w:ascii="Times New Roman" w:hAnsi="Times New Roman" w:cs="Times New Roman"/>
                <w:szCs w:val="21"/>
              </w:rPr>
              <w:t>5327</w:t>
            </w:r>
          </w:p>
        </w:tc>
        <w:tc>
          <w:tcPr>
            <w:tcW w:w="1804" w:type="dxa"/>
            <w:vMerge w:val="restart"/>
            <w:vAlign w:val="center"/>
          </w:tcPr>
          <w:p w14:paraId="45A286DF">
            <w:pPr>
              <w:jc w:val="center"/>
              <w:rPr>
                <w:rFonts w:ascii="Times New Roman" w:hAnsi="Times New Roman" w:cs="Times New Roman"/>
                <w:szCs w:val="21"/>
              </w:rPr>
            </w:pPr>
            <w:r>
              <w:rPr>
                <w:rFonts w:ascii="Times New Roman" w:cs="Times New Roman"/>
                <w:szCs w:val="21"/>
              </w:rPr>
              <w:t>卡若区、丁青县、类乌齐县</w:t>
            </w:r>
          </w:p>
        </w:tc>
      </w:tr>
      <w:tr w14:paraId="546A9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38E50E0D">
            <w:pPr>
              <w:jc w:val="center"/>
              <w:rPr>
                <w:rFonts w:ascii="Times New Roman" w:hAnsi="Times New Roman" w:cs="Times New Roman"/>
                <w:szCs w:val="21"/>
              </w:rPr>
            </w:pPr>
          </w:p>
        </w:tc>
        <w:tc>
          <w:tcPr>
            <w:tcW w:w="1830" w:type="dxa"/>
            <w:vAlign w:val="center"/>
          </w:tcPr>
          <w:p w14:paraId="0EAA52D0">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52ADDADB">
            <w:pPr>
              <w:jc w:val="center"/>
              <w:rPr>
                <w:rFonts w:ascii="Times New Roman" w:hAnsi="Times New Roman" w:cs="Times New Roman"/>
                <w:szCs w:val="21"/>
              </w:rPr>
            </w:pPr>
            <w:r>
              <w:rPr>
                <w:rFonts w:ascii="Times New Roman" w:hAnsi="Times New Roman" w:cs="Times New Roman"/>
                <w:szCs w:val="21"/>
              </w:rPr>
              <w:t>9.68</w:t>
            </w:r>
          </w:p>
        </w:tc>
        <w:tc>
          <w:tcPr>
            <w:tcW w:w="1220" w:type="dxa"/>
            <w:vMerge w:val="continue"/>
            <w:vAlign w:val="center"/>
          </w:tcPr>
          <w:p w14:paraId="2A2FF92A">
            <w:pPr>
              <w:jc w:val="center"/>
              <w:rPr>
                <w:rFonts w:ascii="Times New Roman" w:hAnsi="Times New Roman" w:cs="Times New Roman"/>
                <w:szCs w:val="21"/>
              </w:rPr>
            </w:pPr>
          </w:p>
        </w:tc>
        <w:tc>
          <w:tcPr>
            <w:tcW w:w="1804" w:type="dxa"/>
            <w:vMerge w:val="continue"/>
            <w:vAlign w:val="center"/>
          </w:tcPr>
          <w:p w14:paraId="5A63E9FA">
            <w:pPr>
              <w:jc w:val="center"/>
              <w:rPr>
                <w:rFonts w:ascii="Times New Roman" w:hAnsi="Times New Roman" w:cs="Times New Roman"/>
                <w:szCs w:val="21"/>
              </w:rPr>
            </w:pPr>
          </w:p>
        </w:tc>
      </w:tr>
      <w:tr w14:paraId="088CB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3014" w:type="dxa"/>
            <w:vMerge w:val="restart"/>
            <w:vAlign w:val="center"/>
          </w:tcPr>
          <w:p w14:paraId="10DB7147">
            <w:pPr>
              <w:jc w:val="center"/>
              <w:rPr>
                <w:rFonts w:ascii="Times New Roman" w:hAnsi="Times New Roman" w:cs="Times New Roman"/>
                <w:szCs w:val="21"/>
              </w:rPr>
            </w:pPr>
            <w:r>
              <w:rPr>
                <w:rFonts w:ascii="Times New Roman" w:hAnsi="Times New Roman" w:cs="Times New Roman"/>
                <w:szCs w:val="21"/>
              </w:rPr>
              <w:t>2024</w:t>
            </w:r>
            <w:r>
              <w:rPr>
                <w:rFonts w:ascii="Times New Roman" w:cs="Times New Roman"/>
                <w:szCs w:val="21"/>
              </w:rPr>
              <w:t>年藏东南高寒林区生态保护与综合治理项目</w:t>
            </w:r>
          </w:p>
        </w:tc>
        <w:tc>
          <w:tcPr>
            <w:tcW w:w="1830" w:type="dxa"/>
            <w:vAlign w:val="center"/>
          </w:tcPr>
          <w:p w14:paraId="11162F65">
            <w:pPr>
              <w:jc w:val="center"/>
              <w:rPr>
                <w:rFonts w:ascii="Times New Roman" w:hAnsi="Times New Roman" w:cs="Times New Roman"/>
                <w:szCs w:val="21"/>
              </w:rPr>
            </w:pPr>
            <w:r>
              <w:rPr>
                <w:rFonts w:ascii="Times New Roman" w:cs="Times New Roman"/>
                <w:szCs w:val="21"/>
              </w:rPr>
              <w:t>草原改良</w:t>
            </w:r>
          </w:p>
        </w:tc>
        <w:tc>
          <w:tcPr>
            <w:tcW w:w="1371" w:type="dxa"/>
            <w:vAlign w:val="center"/>
          </w:tcPr>
          <w:p w14:paraId="1C07207B">
            <w:pPr>
              <w:jc w:val="center"/>
              <w:rPr>
                <w:rFonts w:ascii="Times New Roman" w:hAnsi="Times New Roman" w:cs="Times New Roman"/>
                <w:szCs w:val="21"/>
              </w:rPr>
            </w:pPr>
            <w:r>
              <w:rPr>
                <w:rFonts w:ascii="Times New Roman" w:hAnsi="Times New Roman" w:cs="Times New Roman"/>
                <w:szCs w:val="21"/>
              </w:rPr>
              <w:t>21.54</w:t>
            </w:r>
          </w:p>
        </w:tc>
        <w:tc>
          <w:tcPr>
            <w:tcW w:w="1220" w:type="dxa"/>
            <w:vMerge w:val="restart"/>
            <w:vAlign w:val="center"/>
          </w:tcPr>
          <w:p w14:paraId="43E43826">
            <w:pPr>
              <w:jc w:val="center"/>
              <w:rPr>
                <w:rFonts w:ascii="Times New Roman" w:hAnsi="Times New Roman" w:cs="Times New Roman"/>
                <w:szCs w:val="21"/>
              </w:rPr>
            </w:pPr>
            <w:r>
              <w:rPr>
                <w:rFonts w:ascii="Times New Roman" w:hAnsi="Times New Roman" w:cs="Times New Roman"/>
                <w:szCs w:val="21"/>
              </w:rPr>
              <w:t>5319</w:t>
            </w:r>
          </w:p>
        </w:tc>
        <w:tc>
          <w:tcPr>
            <w:tcW w:w="1804" w:type="dxa"/>
            <w:vMerge w:val="restart"/>
            <w:vAlign w:val="center"/>
          </w:tcPr>
          <w:p w14:paraId="05F32CC1">
            <w:pPr>
              <w:jc w:val="center"/>
              <w:rPr>
                <w:rFonts w:ascii="Times New Roman" w:hAnsi="Times New Roman" w:cs="Times New Roman"/>
                <w:szCs w:val="21"/>
              </w:rPr>
            </w:pPr>
            <w:r>
              <w:rPr>
                <w:rFonts w:ascii="Times New Roman" w:cs="Times New Roman"/>
                <w:szCs w:val="21"/>
              </w:rPr>
              <w:t>卡若区、丁青县、类乌齐县</w:t>
            </w:r>
          </w:p>
        </w:tc>
      </w:tr>
      <w:tr w14:paraId="29B9A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63CCFED9">
            <w:pPr>
              <w:jc w:val="center"/>
              <w:rPr>
                <w:rFonts w:ascii="Times New Roman" w:hAnsi="Times New Roman" w:cs="Times New Roman"/>
                <w:szCs w:val="21"/>
              </w:rPr>
            </w:pPr>
          </w:p>
        </w:tc>
        <w:tc>
          <w:tcPr>
            <w:tcW w:w="1830" w:type="dxa"/>
            <w:vAlign w:val="center"/>
          </w:tcPr>
          <w:p w14:paraId="4A45D2BF">
            <w:pPr>
              <w:jc w:val="center"/>
              <w:rPr>
                <w:rFonts w:ascii="Times New Roman" w:hAnsi="Times New Roman" w:cs="Times New Roman"/>
                <w:szCs w:val="21"/>
              </w:rPr>
            </w:pPr>
            <w:r>
              <w:rPr>
                <w:rFonts w:ascii="Times New Roman" w:cs="Times New Roman"/>
                <w:szCs w:val="21"/>
              </w:rPr>
              <w:t>人工种草</w:t>
            </w:r>
          </w:p>
        </w:tc>
        <w:tc>
          <w:tcPr>
            <w:tcW w:w="1371" w:type="dxa"/>
            <w:vAlign w:val="center"/>
          </w:tcPr>
          <w:p w14:paraId="347D896D">
            <w:pPr>
              <w:jc w:val="center"/>
              <w:rPr>
                <w:rFonts w:ascii="Times New Roman" w:hAnsi="Times New Roman" w:cs="Times New Roman"/>
                <w:szCs w:val="21"/>
              </w:rPr>
            </w:pPr>
            <w:r>
              <w:rPr>
                <w:rFonts w:ascii="Times New Roman" w:hAnsi="Times New Roman" w:cs="Times New Roman"/>
                <w:szCs w:val="21"/>
              </w:rPr>
              <w:t>9.66</w:t>
            </w:r>
          </w:p>
        </w:tc>
        <w:tc>
          <w:tcPr>
            <w:tcW w:w="1220" w:type="dxa"/>
            <w:vMerge w:val="continue"/>
            <w:vAlign w:val="center"/>
          </w:tcPr>
          <w:p w14:paraId="4034A66B">
            <w:pPr>
              <w:jc w:val="center"/>
              <w:rPr>
                <w:rFonts w:ascii="Times New Roman" w:hAnsi="Times New Roman" w:cs="Times New Roman"/>
                <w:szCs w:val="21"/>
              </w:rPr>
            </w:pPr>
          </w:p>
        </w:tc>
        <w:tc>
          <w:tcPr>
            <w:tcW w:w="1804" w:type="dxa"/>
            <w:vMerge w:val="continue"/>
            <w:vAlign w:val="center"/>
          </w:tcPr>
          <w:p w14:paraId="2EFC3780">
            <w:pPr>
              <w:jc w:val="center"/>
              <w:rPr>
                <w:rFonts w:ascii="Times New Roman" w:hAnsi="Times New Roman" w:cs="Times New Roman"/>
                <w:szCs w:val="21"/>
              </w:rPr>
            </w:pPr>
          </w:p>
        </w:tc>
      </w:tr>
      <w:tr w14:paraId="6006A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restart"/>
            <w:vAlign w:val="center"/>
          </w:tcPr>
          <w:p w14:paraId="37C32938">
            <w:pPr>
              <w:jc w:val="center"/>
              <w:rPr>
                <w:rFonts w:ascii="Times New Roman" w:hAnsi="Times New Roman" w:cs="Times New Roman"/>
                <w:szCs w:val="21"/>
              </w:rPr>
            </w:pPr>
            <w:r>
              <w:rPr>
                <w:rFonts w:hint="eastAsia" w:ascii="Times New Roman" w:hAnsi="Times New Roman" w:cs="Times New Roman"/>
                <w:szCs w:val="21"/>
              </w:rPr>
              <w:t>2025年退化草原修复项目（财政提前批）</w:t>
            </w:r>
          </w:p>
        </w:tc>
        <w:tc>
          <w:tcPr>
            <w:tcW w:w="1830" w:type="dxa"/>
            <w:vAlign w:val="center"/>
          </w:tcPr>
          <w:p w14:paraId="7ADDB4C6">
            <w:pPr>
              <w:jc w:val="center"/>
              <w:rPr>
                <w:rFonts w:ascii="Times New Roman" w:cs="Times New Roman"/>
                <w:szCs w:val="21"/>
              </w:rPr>
            </w:pPr>
            <w:r>
              <w:rPr>
                <w:rFonts w:hint="eastAsia" w:ascii="Times New Roman" w:cs="Times New Roman"/>
                <w:szCs w:val="21"/>
              </w:rPr>
              <w:t>退化草原修复</w:t>
            </w:r>
          </w:p>
        </w:tc>
        <w:tc>
          <w:tcPr>
            <w:tcW w:w="1371" w:type="dxa"/>
            <w:vAlign w:val="center"/>
          </w:tcPr>
          <w:p w14:paraId="1BDA4F97">
            <w:pPr>
              <w:jc w:val="center"/>
              <w:rPr>
                <w:rFonts w:ascii="Times New Roman" w:hAnsi="Times New Roman" w:cs="Times New Roman"/>
                <w:szCs w:val="21"/>
              </w:rPr>
            </w:pPr>
            <w:r>
              <w:rPr>
                <w:rFonts w:hint="eastAsia" w:ascii="Times New Roman" w:hAnsi="Times New Roman" w:cs="Times New Roman"/>
                <w:szCs w:val="21"/>
              </w:rPr>
              <w:t>35.67</w:t>
            </w:r>
          </w:p>
        </w:tc>
        <w:tc>
          <w:tcPr>
            <w:tcW w:w="1220" w:type="dxa"/>
            <w:vMerge w:val="restart"/>
            <w:vAlign w:val="center"/>
          </w:tcPr>
          <w:p w14:paraId="4FC027EC">
            <w:pPr>
              <w:jc w:val="center"/>
              <w:rPr>
                <w:rFonts w:ascii="Times New Roman" w:hAnsi="Times New Roman" w:cs="Times New Roman"/>
                <w:szCs w:val="21"/>
              </w:rPr>
            </w:pPr>
            <w:r>
              <w:rPr>
                <w:rFonts w:hint="eastAsia" w:ascii="Times New Roman" w:hAnsi="Times New Roman" w:cs="Times New Roman"/>
                <w:szCs w:val="21"/>
              </w:rPr>
              <w:t>5210.16</w:t>
            </w:r>
          </w:p>
        </w:tc>
        <w:tc>
          <w:tcPr>
            <w:tcW w:w="1804" w:type="dxa"/>
            <w:vMerge w:val="restart"/>
            <w:vAlign w:val="center"/>
          </w:tcPr>
          <w:p w14:paraId="1A10709A">
            <w:pPr>
              <w:jc w:val="center"/>
              <w:rPr>
                <w:rFonts w:ascii="Times New Roman" w:hAnsi="Times New Roman" w:cs="Times New Roman"/>
                <w:szCs w:val="21"/>
              </w:rPr>
            </w:pPr>
            <w:r>
              <w:rPr>
                <w:rFonts w:hint="eastAsia" w:ascii="Times New Roman" w:hAnsi="Times New Roman" w:cs="Times New Roman"/>
                <w:szCs w:val="21"/>
              </w:rPr>
              <w:t>江达县、卡若区、边坝县、类乌齐县</w:t>
            </w:r>
          </w:p>
        </w:tc>
      </w:tr>
      <w:tr w14:paraId="463B0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4" w:type="dxa"/>
            <w:vMerge w:val="continue"/>
            <w:vAlign w:val="center"/>
          </w:tcPr>
          <w:p w14:paraId="44A9013A">
            <w:pPr>
              <w:jc w:val="center"/>
              <w:rPr>
                <w:rFonts w:ascii="Times New Roman" w:hAnsi="Times New Roman" w:cs="Times New Roman"/>
                <w:szCs w:val="21"/>
              </w:rPr>
            </w:pPr>
          </w:p>
        </w:tc>
        <w:tc>
          <w:tcPr>
            <w:tcW w:w="1830" w:type="dxa"/>
            <w:vAlign w:val="center"/>
          </w:tcPr>
          <w:p w14:paraId="66D598C5">
            <w:pPr>
              <w:jc w:val="center"/>
              <w:rPr>
                <w:rFonts w:ascii="Times New Roman" w:cs="Times New Roman"/>
                <w:szCs w:val="21"/>
              </w:rPr>
            </w:pPr>
            <w:r>
              <w:rPr>
                <w:rFonts w:ascii="Times New Roman" w:cs="Times New Roman"/>
                <w:szCs w:val="21"/>
              </w:rPr>
              <w:t>围栏封育</w:t>
            </w:r>
          </w:p>
        </w:tc>
        <w:tc>
          <w:tcPr>
            <w:tcW w:w="1371" w:type="dxa"/>
            <w:vAlign w:val="center"/>
          </w:tcPr>
          <w:p w14:paraId="2C105DD5">
            <w:pPr>
              <w:jc w:val="center"/>
              <w:rPr>
                <w:rFonts w:ascii="Times New Roman" w:hAnsi="Times New Roman" w:cs="Times New Roman"/>
                <w:szCs w:val="21"/>
              </w:rPr>
            </w:pPr>
            <w:r>
              <w:rPr>
                <w:rFonts w:hint="eastAsia" w:ascii="Times New Roman" w:hAnsi="Times New Roman" w:cs="Times New Roman"/>
                <w:szCs w:val="21"/>
              </w:rPr>
              <w:t>8.58万米</w:t>
            </w:r>
          </w:p>
        </w:tc>
        <w:tc>
          <w:tcPr>
            <w:tcW w:w="1220" w:type="dxa"/>
            <w:vMerge w:val="continue"/>
            <w:vAlign w:val="center"/>
          </w:tcPr>
          <w:p w14:paraId="6D97E9B7">
            <w:pPr>
              <w:jc w:val="center"/>
              <w:rPr>
                <w:rFonts w:ascii="Times New Roman" w:hAnsi="Times New Roman" w:cs="Times New Roman"/>
                <w:szCs w:val="21"/>
              </w:rPr>
            </w:pPr>
          </w:p>
        </w:tc>
        <w:tc>
          <w:tcPr>
            <w:tcW w:w="1804" w:type="dxa"/>
            <w:vMerge w:val="continue"/>
            <w:vAlign w:val="center"/>
          </w:tcPr>
          <w:p w14:paraId="1D7D44B8">
            <w:pPr>
              <w:jc w:val="center"/>
              <w:rPr>
                <w:rFonts w:ascii="Times New Roman" w:hAnsi="Times New Roman" w:cs="Times New Roman"/>
                <w:szCs w:val="21"/>
              </w:rPr>
            </w:pPr>
          </w:p>
        </w:tc>
      </w:tr>
      <w:tr w14:paraId="1D78A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4" w:type="dxa"/>
            <w:gridSpan w:val="2"/>
            <w:vAlign w:val="center"/>
          </w:tcPr>
          <w:p w14:paraId="5942A4FD">
            <w:pPr>
              <w:jc w:val="center"/>
              <w:rPr>
                <w:rFonts w:ascii="Times New Roman" w:hAnsi="Times New Roman" w:cs="Times New Roman"/>
                <w:szCs w:val="21"/>
              </w:rPr>
            </w:pPr>
            <w:r>
              <w:rPr>
                <w:rFonts w:ascii="Times New Roman" w:cs="Times New Roman"/>
                <w:szCs w:val="21"/>
              </w:rPr>
              <w:t>合计</w:t>
            </w:r>
          </w:p>
        </w:tc>
        <w:tc>
          <w:tcPr>
            <w:tcW w:w="1371" w:type="dxa"/>
            <w:vAlign w:val="center"/>
          </w:tcPr>
          <w:p w14:paraId="3C3D589E">
            <w:pPr>
              <w:jc w:val="center"/>
              <w:rPr>
                <w:rFonts w:ascii="Times New Roman" w:hAnsi="Times New Roman" w:cs="Times New Roman"/>
                <w:szCs w:val="21"/>
              </w:rPr>
            </w:pPr>
            <w:r>
              <w:rPr>
                <w:rFonts w:hint="eastAsia" w:ascii="Times New Roman" w:hAnsi="Times New Roman" w:cs="Times New Roman"/>
                <w:b/>
                <w:bCs/>
                <w:szCs w:val="21"/>
              </w:rPr>
              <w:t>/</w:t>
            </w:r>
          </w:p>
        </w:tc>
        <w:tc>
          <w:tcPr>
            <w:tcW w:w="1220" w:type="dxa"/>
            <w:vAlign w:val="center"/>
          </w:tcPr>
          <w:p w14:paraId="78741BC2">
            <w:pPr>
              <w:jc w:val="center"/>
              <w:rPr>
                <w:rFonts w:ascii="Times New Roman" w:hAnsi="Times New Roman" w:cs="Times New Roman"/>
                <w:szCs w:val="21"/>
              </w:rPr>
            </w:pPr>
            <w:r>
              <w:rPr>
                <w:rFonts w:hint="eastAsia" w:ascii="Times New Roman" w:hAnsi="Times New Roman" w:cs="Times New Roman"/>
                <w:szCs w:val="21"/>
              </w:rPr>
              <w:t>46604.16</w:t>
            </w:r>
          </w:p>
        </w:tc>
        <w:tc>
          <w:tcPr>
            <w:tcW w:w="1804" w:type="dxa"/>
            <w:vAlign w:val="center"/>
          </w:tcPr>
          <w:p w14:paraId="563D2111">
            <w:pPr>
              <w:jc w:val="center"/>
              <w:rPr>
                <w:rFonts w:ascii="Times New Roman" w:hAnsi="Times New Roman" w:cs="Times New Roman"/>
                <w:b/>
                <w:bCs/>
                <w:szCs w:val="21"/>
              </w:rPr>
            </w:pPr>
            <w:r>
              <w:rPr>
                <w:rFonts w:hint="eastAsia" w:ascii="Times New Roman" w:hAnsi="Times New Roman" w:cs="Times New Roman"/>
                <w:b/>
                <w:bCs/>
                <w:szCs w:val="21"/>
              </w:rPr>
              <w:t>/</w:t>
            </w:r>
          </w:p>
        </w:tc>
      </w:tr>
    </w:tbl>
    <w:p w14:paraId="5572A71A">
      <w:pPr>
        <w:pStyle w:val="4"/>
        <w:numPr>
          <w:ilvl w:val="2"/>
          <w:numId w:val="2"/>
        </w:numPr>
        <w:spacing w:before="120" w:after="120" w:line="360" w:lineRule="auto"/>
        <w:rPr>
          <w:rStyle w:val="28"/>
          <w:color w:val="auto"/>
          <w:sz w:val="28"/>
          <w:szCs w:val="28"/>
          <w:u w:val="none"/>
        </w:rPr>
      </w:pPr>
      <w:bookmarkStart w:id="41" w:name="_Toc5033"/>
      <w:r>
        <w:rPr>
          <w:rStyle w:val="28"/>
          <w:rFonts w:hint="eastAsia"/>
          <w:color w:val="auto"/>
          <w:sz w:val="28"/>
          <w:szCs w:val="28"/>
          <w:u w:val="none"/>
        </w:rPr>
        <w:t>草业发展现状</w:t>
      </w:r>
      <w:bookmarkEnd w:id="41"/>
    </w:p>
    <w:p w14:paraId="7CAD1A1B">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饲草料种植情况</w:t>
      </w:r>
    </w:p>
    <w:p w14:paraId="1CB69A9B">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人工种草是通过天然草地补播和人工草地建植，提高草地生产力，恢复草地生态功能所采取的一系列技术措施，所以，有时候人工种草也叫作人工种草生态修复。</w:t>
      </w:r>
    </w:p>
    <w:p w14:paraId="6CFD24D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经调查，</w:t>
      </w:r>
      <w:r>
        <w:rPr>
          <w:rFonts w:ascii="Times New Roman" w:hAnsi="Times New Roman" w:cs="Times New Roman"/>
          <w:sz w:val="24"/>
          <w:szCs w:val="24"/>
        </w:rPr>
        <w:t>2021年发改投资1050万元，实施人工种草7000亩（其中卡若区500亩、丁青县3000亩、八宿县2000亩、芒康县1000亩、边坝县500亩）。</w:t>
      </w:r>
    </w:p>
    <w:p w14:paraId="306746D6">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2022年按照《西藏昌都市财政局关于下达2022年农业相关转移支付资金指标的通知》（昌财农指〔2022〕24号），实施优质高产饲草种植3570亩（其中察雅县2000亩、左贡县1470亩、芒康县100亩），总投资2250万元；实施人工种草2406亩（其中丁青县1976亩、洛隆县430亩），总投资361万元；2022年发改投资2400万元，实施人工种草16000亩（其中贡觉县5000亩、类乌齐县3500亩、丁青县2000亩、八宿县5500亩）。</w:t>
      </w:r>
    </w:p>
    <w:p w14:paraId="3A7FD1B4">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2023年按照《关于下达西藏专项2023年第一批农业农村项目投资的通知》（昌发改投资〔2023〕290号），实施人工种草11000亩（其中江达县3000亩、洛隆县3000亩、边坝县5000亩），总投资1650万元。2024年按照《西藏自治区财政厅关于提前下达2024年自治区财政农业相关转移支付资金农业防灾减灾和水利救灾资金预算指标的通知》（藏财农指〔2023〕54号），实施人工种草6000亩（其中贡觉县2000亩、类乌齐县2000亩、丁青县2000亩），总投资900万元。</w:t>
      </w:r>
    </w:p>
    <w:p w14:paraId="146BF4DB">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2025年按照《西藏自治区财政厅关于提前下达自治区财政农业相关转移支付资金预算指标的通知》（藏财农指〔2024〕61号），2025年实施人工种草6000亩（其中江达县1000亩、贡觉县1000亩、类乌齐县2000亩、丁青县2000亩），总投资900万元。</w:t>
      </w:r>
    </w:p>
    <w:p w14:paraId="22F8458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2020年至2025年共计实施人工种草项目51976亩，总投资9511万元。</w:t>
      </w:r>
    </w:p>
    <w:p w14:paraId="483A81F3">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表3-17   2021-2025年饲草料种植情况统计表</w:t>
      </w:r>
    </w:p>
    <w:tbl>
      <w:tblPr>
        <w:tblStyle w:val="24"/>
        <w:tblW w:w="8981" w:type="dxa"/>
        <w:tblInd w:w="0" w:type="dxa"/>
        <w:tblLayout w:type="fixed"/>
        <w:tblCellMar>
          <w:top w:w="0" w:type="dxa"/>
          <w:left w:w="0" w:type="dxa"/>
          <w:bottom w:w="0" w:type="dxa"/>
          <w:right w:w="0" w:type="dxa"/>
        </w:tblCellMar>
      </w:tblPr>
      <w:tblGrid>
        <w:gridCol w:w="582"/>
        <w:gridCol w:w="1561"/>
        <w:gridCol w:w="1841"/>
        <w:gridCol w:w="1561"/>
        <w:gridCol w:w="3436"/>
      </w:tblGrid>
      <w:tr w14:paraId="24ED952A">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5A01B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年份</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56E9C6">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人工种草面积</w:t>
            </w:r>
          </w:p>
          <w:p w14:paraId="7628517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（亩）</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B02BF7">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rPr>
              <w:t>优质高产饲草</w:t>
            </w:r>
          </w:p>
          <w:p w14:paraId="60E33A1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种植面积（亩）</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9E334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投资（万元）</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F121A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备注</w:t>
            </w:r>
          </w:p>
        </w:tc>
      </w:tr>
      <w:tr w14:paraId="7DB63A54">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10B4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2021</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233F1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7000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61BBD2">
            <w:pPr>
              <w:jc w:val="center"/>
              <w:rPr>
                <w:rFonts w:ascii="Times New Roman" w:hAnsi="Times New Roman" w:eastAsia="宋体" w:cs="Times New Roman"/>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2D2BD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1050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929E5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卡若区、丁青县、八宿县、芒康县、边坝县</w:t>
            </w:r>
          </w:p>
        </w:tc>
      </w:tr>
      <w:tr w14:paraId="2A8E58F2">
        <w:tblPrEx>
          <w:tblCellMar>
            <w:top w:w="0" w:type="dxa"/>
            <w:left w:w="0" w:type="dxa"/>
            <w:bottom w:w="0" w:type="dxa"/>
            <w:right w:w="0" w:type="dxa"/>
          </w:tblCellMar>
        </w:tblPrEx>
        <w:trPr>
          <w:trHeight w:val="270" w:hRule="atLeast"/>
        </w:trPr>
        <w:tc>
          <w:tcPr>
            <w:tcW w:w="582"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25D32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2022</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3BF16">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9DABC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3570</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1BFAF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2250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8ABB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察雅县、左贡县、芒康县</w:t>
            </w:r>
          </w:p>
        </w:tc>
      </w:tr>
      <w:tr w14:paraId="1D19B0F0">
        <w:tblPrEx>
          <w:tblCellMar>
            <w:top w:w="0" w:type="dxa"/>
            <w:left w:w="0" w:type="dxa"/>
            <w:bottom w:w="0" w:type="dxa"/>
            <w:right w:w="0" w:type="dxa"/>
          </w:tblCellMar>
        </w:tblPrEx>
        <w:trPr>
          <w:trHeight w:val="270" w:hRule="atLeast"/>
        </w:trPr>
        <w:tc>
          <w:tcPr>
            <w:tcW w:w="582"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CAC12">
            <w:pPr>
              <w:jc w:val="center"/>
              <w:rPr>
                <w:rFonts w:ascii="Times New Roman" w:hAnsi="Times New Roman" w:eastAsia="宋体" w:cs="Times New Roman"/>
                <w:szCs w:val="21"/>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60A91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2406</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03C4F6">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9153B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361</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DBE7C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丁青县、洛隆县</w:t>
            </w:r>
          </w:p>
        </w:tc>
      </w:tr>
      <w:tr w14:paraId="04B18FB1">
        <w:tblPrEx>
          <w:tblCellMar>
            <w:top w:w="0" w:type="dxa"/>
            <w:left w:w="0" w:type="dxa"/>
            <w:bottom w:w="0" w:type="dxa"/>
            <w:right w:w="0" w:type="dxa"/>
          </w:tblCellMar>
        </w:tblPrEx>
        <w:trPr>
          <w:trHeight w:val="270" w:hRule="atLeast"/>
        </w:trPr>
        <w:tc>
          <w:tcPr>
            <w:tcW w:w="582"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548D91">
            <w:pPr>
              <w:jc w:val="center"/>
              <w:rPr>
                <w:rFonts w:ascii="Times New Roman" w:hAnsi="Times New Roman" w:eastAsia="宋体" w:cs="Times New Roman"/>
                <w:szCs w:val="21"/>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2FC36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C356D4">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3CC02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2400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6AC0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贡觉县、类乌齐县、丁青县、八宿县</w:t>
            </w:r>
          </w:p>
        </w:tc>
      </w:tr>
      <w:tr w14:paraId="4431A1BB">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97DC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2023</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CB95B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11000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ED1C7A">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00C15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1650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07CF2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江达县、洛隆县、边坝县</w:t>
            </w:r>
          </w:p>
        </w:tc>
      </w:tr>
      <w:tr w14:paraId="09CE0308">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958F2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2024</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0FD2A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34257">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C4B58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900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AF530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贡觉县、类乌齐县、丁青县、八宿县</w:t>
            </w:r>
          </w:p>
        </w:tc>
      </w:tr>
      <w:tr w14:paraId="4B43C74C">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170A9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2025</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0D0A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6000</w:t>
            </w:r>
          </w:p>
        </w:tc>
        <w:tc>
          <w:tcPr>
            <w:tcW w:w="184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7C08F">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38B31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900</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EAA2A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江达县、贡觉县、类乌齐县、丁青县</w:t>
            </w:r>
          </w:p>
        </w:tc>
      </w:tr>
      <w:tr w14:paraId="4BF4E676">
        <w:tblPrEx>
          <w:tblCellMar>
            <w:top w:w="0" w:type="dxa"/>
            <w:left w:w="0" w:type="dxa"/>
            <w:bottom w:w="0" w:type="dxa"/>
            <w:right w:w="0" w:type="dxa"/>
          </w:tblCellMar>
        </w:tblPrEx>
        <w:trPr>
          <w:trHeight w:val="270" w:hRule="atLeast"/>
        </w:trPr>
        <w:tc>
          <w:tcPr>
            <w:tcW w:w="58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E8463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合计</w:t>
            </w:r>
          </w:p>
        </w:tc>
        <w:tc>
          <w:tcPr>
            <w:tcW w:w="3402"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D3764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51976</w:t>
            </w:r>
          </w:p>
        </w:tc>
        <w:tc>
          <w:tcPr>
            <w:tcW w:w="15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F1CD5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rPr>
              <w:t>9511</w:t>
            </w:r>
          </w:p>
        </w:tc>
        <w:tc>
          <w:tcPr>
            <w:tcW w:w="34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BA58B">
            <w:pPr>
              <w:jc w:val="center"/>
              <w:rPr>
                <w:rFonts w:ascii="Times New Roman" w:hAnsi="Times New Roman" w:eastAsia="宋体" w:cs="Times New Roman"/>
                <w:szCs w:val="21"/>
              </w:rPr>
            </w:pPr>
          </w:p>
        </w:tc>
      </w:tr>
    </w:tbl>
    <w:p w14:paraId="4E36B70D">
      <w:pPr>
        <w:spacing w:line="360" w:lineRule="auto"/>
        <w:rPr>
          <w:rFonts w:ascii="Times New Roman" w:hAnsi="Times New Roman" w:cs="Times New Roman"/>
          <w:sz w:val="24"/>
          <w:szCs w:val="24"/>
        </w:rPr>
      </w:pPr>
    </w:p>
    <w:p w14:paraId="414654C3">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产业经营模式发展情况</w:t>
      </w:r>
    </w:p>
    <w:p w14:paraId="4B462195">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昌都市草原产业已形成</w:t>
      </w:r>
      <w:r>
        <w:rPr>
          <w:rFonts w:hint="eastAsia" w:ascii="Times New Roman" w:hAnsi="Times New Roman" w:cs="Times New Roman"/>
          <w:sz w:val="24"/>
          <w:szCs w:val="24"/>
        </w:rPr>
        <w:t>“</w:t>
      </w:r>
      <w:r>
        <w:rPr>
          <w:rFonts w:ascii="Times New Roman" w:hAnsi="Times New Roman" w:cs="Times New Roman"/>
          <w:sz w:val="24"/>
          <w:szCs w:val="24"/>
        </w:rPr>
        <w:t>五大养殖基地+七大种植基地</w:t>
      </w:r>
      <w:r>
        <w:rPr>
          <w:rFonts w:hint="eastAsia" w:ascii="Times New Roman" w:hAnsi="Times New Roman" w:cs="Times New Roman"/>
          <w:sz w:val="24"/>
          <w:szCs w:val="24"/>
        </w:rPr>
        <w:t>”</w:t>
      </w:r>
      <w:r>
        <w:rPr>
          <w:rFonts w:ascii="Times New Roman" w:hAnsi="Times New Roman" w:cs="Times New Roman"/>
          <w:sz w:val="24"/>
          <w:szCs w:val="24"/>
        </w:rPr>
        <w:t>的现代化经营模式，通过</w:t>
      </w:r>
      <w:r>
        <w:rPr>
          <w:rFonts w:hint="eastAsia" w:ascii="Times New Roman" w:hAnsi="Times New Roman" w:cs="Times New Roman"/>
          <w:sz w:val="24"/>
          <w:szCs w:val="24"/>
        </w:rPr>
        <w:t>“公司+基地+农（牧）户”、“基地+专合组织+市场”、“企业+基地+合作社+养殖户”、“党建+特色产业”等多元融合的产业经营模式，</w:t>
      </w:r>
      <w:r>
        <w:rPr>
          <w:rFonts w:ascii="Times New Roman" w:hAnsi="Times New Roman" w:cs="Times New Roman"/>
          <w:sz w:val="24"/>
          <w:szCs w:val="24"/>
        </w:rPr>
        <w:t>实现了从传统放牧向规模化、标准化、产业链化的现代种养加全产业链的转型升级</w:t>
      </w:r>
      <w:r>
        <w:rPr>
          <w:rFonts w:hint="eastAsia" w:ascii="Times New Roman" w:hAnsi="Times New Roman" w:cs="Times New Roman"/>
          <w:sz w:val="24"/>
          <w:szCs w:val="24"/>
        </w:rPr>
        <w:t>，</w:t>
      </w:r>
      <w:r>
        <w:rPr>
          <w:rFonts w:ascii="Times New Roman" w:hAnsi="Times New Roman" w:cs="Times New Roman"/>
          <w:sz w:val="24"/>
          <w:szCs w:val="24"/>
        </w:rPr>
        <w:t>具体发展情况如下：</w:t>
      </w:r>
    </w:p>
    <w:p w14:paraId="419C021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公司+基地+合作社+农牧户”的利益联结模式：类乌齐县作为核心产区，以藏家牦牛股份有限公司为依托推进“三万工程”，即万亩饲草基地、万头牦牛育肥基地、百万斤牦牛肉加工基地建设。公司采用订单式生产，统一收购牧民牦牛，还与觉恩村签订长期草场租赁协议，既保障饲草供给，又让牧民获得稳定租金收益。同时通过入股集中育肥和到户育肥结合的方式，带动720余户建档立卡户参与，户均增收超3000元。此外，当地成立饲草种植合作社，2018年就带动1100余户参与种植，户均增收2000元以上，形成“种草—养畜”的良性循环。</w:t>
      </w:r>
    </w:p>
    <w:p w14:paraId="5317837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公司+基地+合作社+农户”的零风险养殖模式：贡觉县作为核心区，投资1.6亿元建设阿旺绵羊产业链，建成保种扩繁示范基地，形成19个专业养殖村。藏东生物科技开发有限责任公司为农户提供种羊、饲料和技术指导，农户仅负责日常管护，出栏后按协议分红。该模式覆盖1000多户代养农户，还敞开饲草收购渠道，惠及4300多人，同时收购羊粪制作有机肥，带动348户增收322万元，累计带动就业增收超538万元。</w:t>
      </w:r>
    </w:p>
    <w:p w14:paraId="62F8A8C9">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党建+文旅融合模式：察雅县阿孜乡扎拉牧区以“党建+文旅”为核心，整合资源打造洒咧营地、升级旅游接待中心，增设特色文化体验项目，同时运营洗车场、超市等集体经济项目，实现村集体经济收入达33.2万元。当地还开设积分超市，以积分兑换生活用品的方式，调动村民参与村庄建设和产业发展的积极性。</w:t>
      </w:r>
    </w:p>
    <w:p w14:paraId="499814D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党建+生态+增收联动模式：昌都市构建市、县、乡、村四级林长体系，将8252名林长和14.2万余名管护员纳入网格化管理。在此基础上租赁9.7万亩草场发展清洁能源，牧民每亩可获400-600元租金；同时依托草原生态开发松茸、贝母等林下产品，年增收2.36亿元，冬虫夏草采集更是惠及17.6万余名群众，形成草原养殖与生态副业互补的增收格局。</w:t>
      </w:r>
    </w:p>
    <w:p w14:paraId="46C63C87">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w:t>
      </w:r>
      <w:r>
        <w:rPr>
          <w:rFonts w:ascii="Times New Roman" w:hAnsi="Times New Roman" w:cs="Times New Roman"/>
          <w:sz w:val="24"/>
          <w:szCs w:val="24"/>
        </w:rPr>
        <w:t>阿旺片区1-9村党支部+合作社+牧户</w:t>
      </w:r>
      <w:r>
        <w:rPr>
          <w:rFonts w:hint="eastAsia" w:ascii="Times New Roman" w:hAnsi="Times New Roman" w:cs="Times New Roman"/>
          <w:sz w:val="24"/>
          <w:szCs w:val="24"/>
        </w:rPr>
        <w:t>”</w:t>
      </w:r>
      <w:r>
        <w:rPr>
          <w:rFonts w:ascii="Times New Roman" w:hAnsi="Times New Roman" w:cs="Times New Roman"/>
          <w:sz w:val="24"/>
          <w:szCs w:val="24"/>
        </w:rPr>
        <w:t>：阿旺绵羊是贡觉县特有的优良畜种，2023年，阿旺乡整合9个村的集体经济项目，投入600万元村资金，组建加措忠畜牧养殖专业合作社，创新构建"阿旺片区1-9村党支部+合作社+牧户"的集体经济发展模式。</w:t>
      </w:r>
      <w:r>
        <w:rPr>
          <w:rFonts w:hint="eastAsia" w:ascii="Times New Roman" w:hAnsi="Times New Roman" w:cs="Times New Roman"/>
          <w:sz w:val="24"/>
          <w:szCs w:val="24"/>
        </w:rPr>
        <w:t>2024年，合作社成功引入“一胎双羔”技术，让牧民收入直接翻番。随着昌都市智慧牧业平台投入使用，每只羊都戴上了标识信息牌，实现健康数据实时上传。合作社制定了合理的收益分配方案：70%用于群众分红，5%作为村集体经济带头人奖励资金，20%留作下一年度集体经济运转资金，5%作为村党组织服务群众经费。2024年，阿旺乡村集体经济收入达216万余元，平均每户分红约3100元。</w:t>
      </w:r>
    </w:p>
    <w:p w14:paraId="68EBD0B6">
      <w:pPr>
        <w:spacing w:line="360" w:lineRule="auto"/>
        <w:ind w:firstLine="480" w:firstLineChars="200"/>
        <w:rPr>
          <w:rFonts w:ascii="Times New Roman" w:hAnsi="Times New Roman" w:eastAsia="宋体" w:cs="Times New Roman"/>
          <w:sz w:val="24"/>
          <w:szCs w:val="24"/>
        </w:rPr>
      </w:pPr>
      <w:r>
        <w:rPr>
          <w:rFonts w:hint="eastAsia" w:ascii="Times New Roman" w:hAnsi="Times New Roman" w:cs="Times New Roman"/>
          <w:sz w:val="24"/>
          <w:szCs w:val="24"/>
        </w:rPr>
        <w:t>村级合作社主导的小型化集群经营模式：部分牧区采用“支部+基地+农户”的小集群经营模式。例如察雅县阿孜乡建设阿旺绵羊一期、二期育肥基地，以群众绵羊入股方式推进育种、扩繁等环节。2024年该产业带动25户农牧民每户分红2250元，这种模式适合小型牧区集中资源发展，有效盘活了村级零散养殖资源，降低了个体牧民的市场风险，成为大规模产业模式的重要补充</w:t>
      </w:r>
      <w:r>
        <w:rPr>
          <w:rFonts w:hint="eastAsia" w:ascii="Times New Roman" w:hAnsi="Times New Roman" w:eastAsia="宋体" w:cs="Times New Roman"/>
          <w:sz w:val="24"/>
          <w:szCs w:val="24"/>
        </w:rPr>
        <w:t>。</w:t>
      </w:r>
    </w:p>
    <w:p w14:paraId="3EBE9DCF">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冬虫夏草产业发展现状</w:t>
      </w:r>
    </w:p>
    <w:p w14:paraId="01588C4C">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昌都市作为虫草主要产区之一，11县（区）均有虫草分布，分布面积约3012万亩。冬虫夏草采集和交易是其产区农牧民家庭经济收入的重要组成部分，对当地经济发展和民生稳定发挥着重要作用。</w:t>
      </w:r>
    </w:p>
    <w:p w14:paraId="7A35D5D7">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（1）冬虫夏草资源现状</w:t>
      </w:r>
    </w:p>
    <w:p w14:paraId="733BEE1D">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西藏自治区昌都市冬虫夏草资源普查报告》（2024年11月），2024年昌都市冬虫夏草资源普查数据统计结果，昌都市冬虫夏草资源主要分布于八宿县、边坝县、察雅县、丁青县、贡觉县、卡若区、类乌齐县、洛隆县、芒康县、左贡县、江达县，共11个县，26个镇，104个乡。昌都市冬虫夏草资源分布面积1709566.67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，占昌都市国土面积的15.57%。其中，八宿县分布面积86488.16hm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，占昌都市冬虫夏草分布区的5.06%；边坝县分布面积166982.25hm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，占分布区面积的9.77%；察雅县分布面积156047.10hm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，占分布区面积的9.13%；丁青县分布面积201517.05hm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，占分布区面积的11.79%；贡觉县分布面积117667.10hm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，占分布区面积的6.88%；卡若区分布面积249089..92hm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，占分布区面积的14.57%；类乌齐县分布面积37360.70hm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，占分布区面积的2.19%；洛隆县分布面积55891.23 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，占分布区面积的3.27%；芒康县分布面积21779.17hm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，占分布区面积的1.27%；左贡县分布面积133690.69 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，占分布区面积的7.81%；江达县分布面积483053.31hm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，占分布区面积的28.26%，分布范围最广。</w:t>
      </w:r>
    </w:p>
    <w:p w14:paraId="403B304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冬虫夏草资源采集量：根据2024年昌都市冬虫夏草资源普查数据统计，昌都市冬虫夏草年采集总量有9352.55万条，冬虫夏草年采集干重为27206.13kg，年采集鲜重为85713.22kg。昌都市11个县（区）中，丁青县年采集量最大，年采挖冬虫夏草3970.52万条，年采集冬虫夏草干重为12717.48kg，鲜重42391.60kg。所有普查乡镇中丁青县木塔乡年采集量最大，年采挖冬虫夏草1011.86万条，年采集冬虫夏草干重为3372.87kg，鲜重11242.90kg。昌都市11个县（区）中，丁青县冬虫夏草年均采集量最大，为6526.58kg；卡若区年均采集量次之，为1982.32kg；芒康县年均采集量最小，为264.44kg。</w:t>
      </w:r>
    </w:p>
    <w:p w14:paraId="53CD6262">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冬虫夏草资源蕴藏量：昌都市的冬虫夏草资源蕴藏总量约为10463.61万条，约30618.91kg（干重，下文若无特殊说明均表示干重）。其中，丁青县的蕴藏量最大，达4180.91万条，合13395.19kg。所有乡镇中，丁青县木塔乡的蕴藏量最大，达1065.12万条，合3550.39kg。</w:t>
      </w:r>
    </w:p>
    <w:p w14:paraId="123FB48F">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冬虫夏草资源分布特点：昌都市冬虫夏草产区的海拔分布区间较广，海拔3400~5570m间均有分布，但主要分布于海拔4400~4699m之间，占总量的66.77%；分布最集中的海拔区间为4500~4599m，达23.70%。</w:t>
      </w:r>
    </w:p>
    <w:p w14:paraId="60F4418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调查发现在不同植被类型中，昌都市冬虫夏草资源蕴藏量以草原为最多，高达11198.98kg，占36.58%，植被类型为草甸的蕴藏量次之，为8163.83kg，占比达26.66%，而生长在植被类型为常绿针叶灌丛区域的冬虫夏草蕴藏量最低，只有0.51kg，仅占0.002%。未来在昌都市冬虫夏草资源保护方面，应重点关注草原和草甸。</w:t>
      </w:r>
    </w:p>
    <w:p w14:paraId="65E8A3A8">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（2）冬虫夏草管理现状</w:t>
      </w:r>
    </w:p>
    <w:p w14:paraId="6D0B7D6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为切实做好每年冬虫夏草采集交易管理等相关工作，依法规范采集秩序，保护和改善草原生态环境，确保冬虫夏草采集管理工作合理有序科学开展，昌都市根据自治区、市两级下发《冬虫夏草采集管理工作的通知》要求，结合区域实际，紧密部署，通过细化、量化、具体化目标责任；依法依规办理虫草收购证，优化营商环境；强化宣传力度，提升虫草采集人群的意识等措施。要求虫草采集人员保护草原生态环境，严禁非法破坏采集点草原植被；采集虫草时做到对草皮随挖随填，以科学合理的方式采集虫草，推进草原可持续发展等手段，确保草原生态得到保护、群众增收、社会稳定，实现近年来采集“零事件”“零事故”和采集群众“增产又增收”。</w:t>
      </w:r>
    </w:p>
    <w:p w14:paraId="7AF7790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经统计，2024年虫草产量26430.33公斤，同比增产65.72%，产量增加的主要原因是虫草采集期雨水充沛，长势好。产值达37.45亿元。同比增长49.07%，人均虫草收入20795元，虫草覆盖区人均增收7868元。全市累计回填沙土543.09万立方米，播种草种4147223.1平方米，清理垃圾1641.06吨。全市采集期间管理工作扎实，社会秩序良好，实现了“零命案”“零群体性事件”的工作目标。</w:t>
      </w:r>
    </w:p>
    <w:p w14:paraId="0677D2C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（3）存在的问题</w:t>
      </w:r>
    </w:p>
    <w:p w14:paraId="7E8F4CD2">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生态环境保护与冬虫夏草可持续利用的矛盾：冬虫夏草是一种珍贵的中药材，其生长环境特殊且资源有限。昌都市冬虫夏草的过度采集对生态环境造成了一定的破坏。同时，不正确的采挖方式也会直接破坏冬虫夏草赖以生存的植被，使地表植被覆盖率降低，而且，翻动后的土壤在失去植被保护后，容易引发水土流失。原本稳固的高原草甸生态系统遭到破坏，土壤的保水保肥能力下降，进一步影响到其他高原植物的生长，破坏了当地的生物多样性。同时，不合理利用也加剧了资源枯竭的风险。</w:t>
      </w:r>
    </w:p>
    <w:p w14:paraId="5BD65F5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冬虫夏草科技支撑不足与产业升级困难：冬虫夏草产业的发展需要科技支撑和产业升级的推动。然而，目前，昌都市在冬虫夏草产业方面的科技研发和创新能力相对薄弱，缺乏先进的采集、加工和检测技术。同时，产业转型升级也面临诸多困难，如资金短缺、人才匮乏等，这些因素都制约了冬虫夏草产业的进一步发展。</w:t>
      </w:r>
    </w:p>
    <w:p w14:paraId="2EFA9B0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3）冬虫夏草保护和利用中农牧民参与度不高：许多农牧民对冬虫夏草在生态系统中的重要作用缺乏深入了解。冬虫夏草是高原生态系统的一部分，与周围的植被、微生物、动物等构成复杂的生态关系，但大多数农牧民只看到其经济价值，不清楚它在维护土壤结构、参与物质循环、促进生物多样性等方面的生态意义。比如，冬虫夏草生长的区域，其菌丝体对土壤中的养分循环有一定作用，然而农牧民往往忽略了这一点。农牧民大多不了解过度采挖和不合理利用对冬虫夏草资源可持续性的破坏。很多人认为只要有冬虫夏草就可以采挖赚钱，没有从长远角度考虑资源枯竭后果。一些农牧民觉得今年采挖多一些，明年说不定还有，没有意识到冬虫夏草生长繁殖缓慢且周期较长，过度采挖会使其种群难以恢复。因此，冬虫夏尊资源的保护和合理利用需要广大农牧民的积极参与和支持。</w:t>
      </w:r>
    </w:p>
    <w:p w14:paraId="4422939A">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4）主产区农牧民增收中“冬虫夏草依赖病”依然十分明显：因冬虫夏草采挖时问短、经济效益高，农牧民对冬虫夏草经济的依赖较为严重。长期对冬虫夏草的依赖使得主产区农牧民在发展观念上受到束缚。他们习惯了冬虫夏草采集这种相对简单直接的获取收入方式，缺乏对其他产业发展的积极性和主动性。在教育、技能培训等方面投入不足，导致农牧民的综合素质和职业技能难以适应其他产业的发展需求。过度依赖冬虫夏草会给当地生态环境带来巨大压力。为了获取更多的经济利益，可能会出现过度采集的现象。冬虫夏草生长在高原草甸等生态脆弱地区，过度采集会破坏其生长环境，影响冬虫夏草的再生能力。同时，在采集过程中人群的聚集和活动也可能会对周边的植被、土壤等造成破坏，进一步恶化生态环境，从长期来看，这会影响冬虫夏草产业本身的可持续发展，也不利于当地生态的平衡。</w:t>
      </w:r>
    </w:p>
    <w:p w14:paraId="5052D6B6">
      <w:pPr>
        <w:pStyle w:val="4"/>
        <w:numPr>
          <w:ilvl w:val="2"/>
          <w:numId w:val="2"/>
        </w:numPr>
        <w:spacing w:before="120" w:after="120" w:line="360" w:lineRule="auto"/>
        <w:rPr>
          <w:rStyle w:val="28"/>
          <w:color w:val="auto"/>
          <w:sz w:val="28"/>
          <w:szCs w:val="28"/>
          <w:u w:val="none"/>
        </w:rPr>
      </w:pPr>
      <w:bookmarkStart w:id="42" w:name="_Toc19215"/>
      <w:r>
        <w:rPr>
          <w:rStyle w:val="28"/>
          <w:rFonts w:hint="eastAsia"/>
          <w:color w:val="auto"/>
          <w:sz w:val="28"/>
          <w:szCs w:val="28"/>
          <w:u w:val="none"/>
        </w:rPr>
        <w:t>草原碳汇现状</w:t>
      </w:r>
      <w:bookmarkEnd w:id="42"/>
    </w:p>
    <w:p w14:paraId="18C07BF1">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草地作为陆地生态系统的重要组成部分，分布广泛，碳汇潜力巨大，在陆地碳循环中发挥着重要作用。草地碳储量和碳汇对于建立陆地碳循环机制和维持全球碳收支平衡具有重要意义。我国碳达峰、碳中和战略的实施，面临减排幅度大、转型任务重、时间窗口紧等困难和挑战。2021年至今，我国先后出台《关于完整准确全面贯彻新发展理念做好碳达峰碳中和工作的意见》《关于印发2030年前碳达峰行动方案的通知》《温室气体自愿减排交易管理暂行办法（试行）》等文件，明确以碳达峰、碳中和驱动我国实现技术创新和发展转型，是我国经济社会高质量发展的内在要求，是生态环境高水平保护的必然要求，也是缩小与主要发达国家之间发展水平差距的历史机遇。</w:t>
      </w:r>
    </w:p>
    <w:p w14:paraId="636573F0">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2023年11月，昌都市林业和草原局委托国家林业和草原局中南调查规划院编制了《昌都市草地碳储量调查与计量》，对昌都市草地植被碳储量进行了全域估测，对草地植被碳储量及空间分布特征进行分析，提出了切实可行的碳汇发展策略。</w:t>
      </w:r>
    </w:p>
    <w:p w14:paraId="58D80016">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昌都市草地碳储量调查与计量》，昌都市草地植被碳储量为4346.47万t，其中，草地植被地上碳储量为299.76万t，草地植被地下碳储量为4046.71万t；草地植被地上碳密度的变化范围在0.01-2.05t/ha之间，平均值为0.59t/ha；昌都市草地植被地下碳密度的变化范围在0.01-27.72t/ha之间，平均值为7.84t/ha；昌都市草地植被总碳密度的变化范围在0.02-29.77t/ha之间，平均值为8.53t/ha。处于平均草地植被碳密度之上的县（区）有江达县、察雅县、贡觉县、卡若区和芒康县；处于平均草地植被碳密度之下的县有左贡县、边坝县、类乌齐县、洛隆县、八宿县和丁青县。</w:t>
      </w:r>
    </w:p>
    <w:p w14:paraId="78F9EC37">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表3-18   草地植被平均碳密度水平分布明细表</w:t>
      </w:r>
    </w:p>
    <w:tbl>
      <w:tblPr>
        <w:tblStyle w:val="24"/>
        <w:tblW w:w="8981" w:type="dxa"/>
        <w:tblInd w:w="0" w:type="dxa"/>
        <w:tblLayout w:type="fixed"/>
        <w:tblCellMar>
          <w:top w:w="0" w:type="dxa"/>
          <w:left w:w="0" w:type="dxa"/>
          <w:bottom w:w="0" w:type="dxa"/>
          <w:right w:w="0" w:type="dxa"/>
        </w:tblCellMar>
      </w:tblPr>
      <w:tblGrid>
        <w:gridCol w:w="1953"/>
        <w:gridCol w:w="2425"/>
        <w:gridCol w:w="2533"/>
        <w:gridCol w:w="2070"/>
      </w:tblGrid>
      <w:tr w14:paraId="59883B63">
        <w:tblPrEx>
          <w:tblCellMar>
            <w:top w:w="0" w:type="dxa"/>
            <w:left w:w="0" w:type="dxa"/>
            <w:bottom w:w="0" w:type="dxa"/>
            <w:right w:w="0" w:type="dxa"/>
          </w:tblCellMar>
        </w:tblPrEx>
        <w:trPr>
          <w:trHeight w:val="417"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82DFBC">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县</w:t>
            </w:r>
            <w:r>
              <w:rPr>
                <w:rFonts w:ascii="Times New Roman" w:hAnsi="Times New Roman" w:eastAsia="宋体" w:cs="Times New Roman"/>
                <w:kern w:val="0"/>
                <w:sz w:val="20"/>
                <w:szCs w:val="20"/>
              </w:rPr>
              <w:t>(</w:t>
            </w:r>
            <w:r>
              <w:rPr>
                <w:rFonts w:hint="eastAsia" w:ascii="宋体" w:hAnsi="宋体" w:eastAsia="宋体" w:cs="宋体"/>
                <w:kern w:val="0"/>
                <w:sz w:val="20"/>
                <w:szCs w:val="20"/>
              </w:rPr>
              <w:t>区</w:t>
            </w:r>
            <w:r>
              <w:rPr>
                <w:rFonts w:ascii="Times New Roman" w:hAnsi="Times New Roman" w:eastAsia="宋体" w:cs="Times New Roman"/>
                <w:kern w:val="0"/>
                <w:sz w:val="20"/>
                <w:szCs w:val="20"/>
              </w:rPr>
              <w:t>)</w:t>
            </w:r>
            <w:r>
              <w:rPr>
                <w:rFonts w:hint="eastAsia" w:ascii="宋体" w:hAnsi="宋体" w:eastAsia="宋体" w:cs="宋体"/>
                <w:kern w:val="0"/>
                <w:sz w:val="20"/>
                <w:szCs w:val="20"/>
              </w:rPr>
              <w:t>名称</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FA7B36">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地上碳密度</w:t>
            </w:r>
            <w:r>
              <w:rPr>
                <w:rFonts w:ascii="Times New Roman" w:hAnsi="Times New Roman" w:eastAsia="宋体" w:cs="Times New Roman"/>
                <w:kern w:val="0"/>
                <w:sz w:val="20"/>
                <w:szCs w:val="20"/>
              </w:rPr>
              <w:t>(t/ha)</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5A4B6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地下碳密度</w:t>
            </w:r>
            <w:r>
              <w:rPr>
                <w:rFonts w:ascii="Times New Roman" w:hAnsi="Times New Roman" w:eastAsia="宋体" w:cs="Times New Roman"/>
                <w:kern w:val="0"/>
                <w:sz w:val="20"/>
                <w:szCs w:val="20"/>
              </w:rPr>
              <w:t>(t/ha)</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660B10">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总碳密度</w:t>
            </w:r>
            <w:r>
              <w:rPr>
                <w:rFonts w:ascii="Times New Roman" w:hAnsi="Times New Roman" w:eastAsia="宋体" w:cs="Times New Roman"/>
                <w:kern w:val="0"/>
                <w:sz w:val="20"/>
                <w:szCs w:val="20"/>
              </w:rPr>
              <w:t>(t/ha)</w:t>
            </w:r>
          </w:p>
        </w:tc>
      </w:tr>
      <w:tr w14:paraId="1BF9A301">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5EEE7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卡若区</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4334E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0.68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4507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9.15</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398E3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9.83</w:t>
            </w:r>
          </w:p>
        </w:tc>
      </w:tr>
      <w:tr w14:paraId="11DD977E">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ADFF91">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江达县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9EBAC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0.71</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403DC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9.61</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EF26F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10.32</w:t>
            </w:r>
          </w:p>
        </w:tc>
      </w:tr>
      <w:tr w14:paraId="3BEABA97">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CFB43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贡觉县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CA1EB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0.69</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231C8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9.36</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FC2C8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10.05</w:t>
            </w:r>
          </w:p>
        </w:tc>
      </w:tr>
      <w:tr w14:paraId="797F1424">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22881">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类乌齐县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CA2EF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0.54</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EB94B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7.23</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79174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7.77</w:t>
            </w:r>
          </w:p>
        </w:tc>
      </w:tr>
      <w:tr w14:paraId="44FE1857">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4014A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丁青县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C36C9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0.</w:t>
            </w:r>
            <w:r>
              <w:rPr>
                <w:rFonts w:ascii="Times New Roman" w:hAnsi="Times New Roman" w:eastAsia="宋体" w:cs="Times New Roman"/>
                <w:kern w:val="0"/>
                <w:sz w:val="20"/>
                <w:szCs w:val="20"/>
              </w:rPr>
              <w:t>48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C2B58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6.47</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22453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6.95</w:t>
            </w:r>
          </w:p>
        </w:tc>
      </w:tr>
      <w:tr w14:paraId="504F914B">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B56DD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察雅县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42B2E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0.70</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EC195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48</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3F711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10.18</w:t>
            </w:r>
          </w:p>
        </w:tc>
      </w:tr>
      <w:tr w14:paraId="163029F6">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F16D9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八宿县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8A713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0.48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1A3C3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6.51</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56DED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6.99</w:t>
            </w:r>
          </w:p>
        </w:tc>
      </w:tr>
      <w:tr w14:paraId="6AA6EFA8">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65225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左贡县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60CA6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0.58</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7C0ED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7.84</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13064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8.42</w:t>
            </w:r>
          </w:p>
        </w:tc>
      </w:tr>
      <w:tr w14:paraId="2D5397C3">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6EC81C">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芒康县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90870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0.64</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D9F04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8.65</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ADFDA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9.29</w:t>
            </w:r>
          </w:p>
        </w:tc>
      </w:tr>
      <w:tr w14:paraId="6A216714">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9FB22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洛隆县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8DF8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0.53</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D9784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7.18</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1DC35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7.71</w:t>
            </w:r>
          </w:p>
        </w:tc>
      </w:tr>
      <w:tr w14:paraId="0A9A4066">
        <w:tblPrEx>
          <w:tblCellMar>
            <w:top w:w="0" w:type="dxa"/>
            <w:left w:w="0" w:type="dxa"/>
            <w:bottom w:w="0" w:type="dxa"/>
            <w:right w:w="0" w:type="dxa"/>
          </w:tblCellMar>
        </w:tblPrEx>
        <w:trPr>
          <w:trHeight w:val="285" w:hRule="atLeast"/>
        </w:trPr>
        <w:tc>
          <w:tcPr>
            <w:tcW w:w="19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8534F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边坝县</w:t>
            </w:r>
          </w:p>
        </w:tc>
        <w:tc>
          <w:tcPr>
            <w:tcW w:w="24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A46A4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0.54</w:t>
            </w:r>
          </w:p>
        </w:tc>
        <w:tc>
          <w:tcPr>
            <w:tcW w:w="25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395AE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7.24</w:t>
            </w:r>
          </w:p>
        </w:tc>
        <w:tc>
          <w:tcPr>
            <w:tcW w:w="20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50AB2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7.78</w:t>
            </w:r>
          </w:p>
        </w:tc>
      </w:tr>
    </w:tbl>
    <w:p w14:paraId="7DE5C678">
      <w:pPr>
        <w:spacing w:line="360" w:lineRule="auto"/>
        <w:jc w:val="left"/>
        <w:rPr>
          <w:rFonts w:ascii="Times New Roman" w:hAnsi="Times New Roman" w:eastAsia="宋体" w:cs="Times New Roman"/>
          <w:sz w:val="24"/>
          <w:szCs w:val="24"/>
        </w:rPr>
      </w:pPr>
    </w:p>
    <w:p w14:paraId="5C3E4EF3">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根据统计结果，昌都市草地植被碳储量主要集中在天然牧草地中，总碳储量达到了38686965.24t，而人工牧草地所具有的草地植被碳储量较少，仅为66404.44t。</w:t>
      </w:r>
    </w:p>
    <w:p w14:paraId="41CD54D5">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表3-19草地植被碳储量明细表</w:t>
      </w:r>
    </w:p>
    <w:tbl>
      <w:tblPr>
        <w:tblStyle w:val="24"/>
        <w:tblW w:w="8981" w:type="dxa"/>
        <w:tblInd w:w="0" w:type="dxa"/>
        <w:tblLayout w:type="fixed"/>
        <w:tblCellMar>
          <w:top w:w="0" w:type="dxa"/>
          <w:left w:w="0" w:type="dxa"/>
          <w:bottom w:w="0" w:type="dxa"/>
          <w:right w:w="0" w:type="dxa"/>
        </w:tblCellMar>
      </w:tblPr>
      <w:tblGrid>
        <w:gridCol w:w="1474"/>
        <w:gridCol w:w="2254"/>
        <w:gridCol w:w="1842"/>
        <w:gridCol w:w="2074"/>
        <w:gridCol w:w="1337"/>
      </w:tblGrid>
      <w:tr w14:paraId="6DDADE4B">
        <w:tblPrEx>
          <w:tblCellMar>
            <w:top w:w="0" w:type="dxa"/>
            <w:left w:w="0" w:type="dxa"/>
            <w:bottom w:w="0" w:type="dxa"/>
            <w:right w:w="0" w:type="dxa"/>
          </w:tblCellMar>
        </w:tblPrEx>
        <w:trPr>
          <w:trHeight w:val="495"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B0FE5B">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车原通类</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E22436">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地上碳储量（</w:t>
            </w:r>
            <w:r>
              <w:rPr>
                <w:rFonts w:hint="eastAsia" w:ascii="Times New Roman" w:hAnsi="Times New Roman" w:eastAsia="宋体" w:cs="Times New Roman"/>
                <w:kern w:val="0"/>
                <w:sz w:val="20"/>
                <w:szCs w:val="20"/>
              </w:rPr>
              <w:t>t）</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93555A">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地下碳储量（</w:t>
            </w:r>
            <w:r>
              <w:rPr>
                <w:rFonts w:hint="eastAsia" w:ascii="Times New Roman" w:hAnsi="Times New Roman" w:eastAsia="宋体" w:cs="Times New Roman"/>
                <w:kern w:val="0"/>
                <w:sz w:val="20"/>
                <w:szCs w:val="20"/>
              </w:rPr>
              <w:t>t）</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F5D843">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总碳量（</w:t>
            </w:r>
            <w:r>
              <w:rPr>
                <w:rFonts w:hint="eastAsia" w:ascii="Times New Roman" w:hAnsi="Times New Roman" w:eastAsia="宋体" w:cs="Times New Roman"/>
                <w:kern w:val="0"/>
                <w:sz w:val="20"/>
                <w:szCs w:val="20"/>
              </w:rPr>
              <w:t>t）</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D6F07E">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比例</w:t>
            </w:r>
            <w:r>
              <w:rPr>
                <w:rFonts w:hint="eastAsia" w:ascii="Times New Roman" w:hAnsi="Times New Roman" w:eastAsia="宋体" w:cs="Times New Roman"/>
                <w:kern w:val="0"/>
                <w:sz w:val="20"/>
                <w:szCs w:val="20"/>
              </w:rPr>
              <w:t>（%）</w:t>
            </w:r>
          </w:p>
        </w:tc>
      </w:tr>
      <w:tr w14:paraId="40725F57">
        <w:tblPrEx>
          <w:tblCellMar>
            <w:top w:w="0" w:type="dxa"/>
            <w:left w:w="0" w:type="dxa"/>
            <w:bottom w:w="0" w:type="dxa"/>
            <w:right w:w="0" w:type="dxa"/>
          </w:tblCellMar>
        </w:tblPrEx>
        <w:trPr>
          <w:trHeight w:val="510"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268E1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天然牧草地</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1E513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2668066</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57</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20320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36018898.67</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A1AE4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38686965</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24</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CEFB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89.01</w:t>
            </w:r>
          </w:p>
        </w:tc>
      </w:tr>
      <w:tr w14:paraId="07785ED4">
        <w:tblPrEx>
          <w:tblCellMar>
            <w:top w:w="0" w:type="dxa"/>
            <w:left w:w="0" w:type="dxa"/>
            <w:bottom w:w="0" w:type="dxa"/>
            <w:right w:w="0" w:type="dxa"/>
          </w:tblCellMar>
        </w:tblPrEx>
        <w:trPr>
          <w:trHeight w:val="428"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88EB1B">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人工牧草地</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E36C1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4579.62</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A855A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61824.82</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98ECD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66404.44</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287CF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0.</w:t>
            </w:r>
            <w:r>
              <w:rPr>
                <w:rFonts w:ascii="Times New Roman" w:hAnsi="Times New Roman" w:eastAsia="宋体" w:cs="Times New Roman"/>
                <w:kern w:val="0"/>
                <w:sz w:val="20"/>
                <w:szCs w:val="20"/>
              </w:rPr>
              <w:t>15</w:t>
            </w:r>
          </w:p>
        </w:tc>
      </w:tr>
      <w:tr w14:paraId="380DA221">
        <w:tblPrEx>
          <w:tblCellMar>
            <w:top w:w="0" w:type="dxa"/>
            <w:left w:w="0" w:type="dxa"/>
            <w:bottom w:w="0" w:type="dxa"/>
            <w:right w:w="0" w:type="dxa"/>
          </w:tblCellMar>
        </w:tblPrEx>
        <w:trPr>
          <w:trHeight w:val="510"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24B234">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其他草地</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450AB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324916.77</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E2B88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4386376.61</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46612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4711293.38</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82B7C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10.84</w:t>
            </w:r>
          </w:p>
        </w:tc>
      </w:tr>
      <w:tr w14:paraId="1C961C71">
        <w:tblPrEx>
          <w:tblCellMar>
            <w:top w:w="0" w:type="dxa"/>
            <w:left w:w="0" w:type="dxa"/>
            <w:bottom w:w="0" w:type="dxa"/>
            <w:right w:w="0" w:type="dxa"/>
          </w:tblCellMar>
        </w:tblPrEx>
        <w:trPr>
          <w:trHeight w:val="510" w:hRule="atLeast"/>
        </w:trPr>
        <w:tc>
          <w:tcPr>
            <w:tcW w:w="14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E1060D">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合计</w:t>
            </w:r>
          </w:p>
        </w:tc>
        <w:tc>
          <w:tcPr>
            <w:tcW w:w="22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E1E87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2997562.96</w:t>
            </w:r>
          </w:p>
        </w:tc>
        <w:tc>
          <w:tcPr>
            <w:tcW w:w="18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D6ABB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40467100.10</w:t>
            </w:r>
          </w:p>
        </w:tc>
        <w:tc>
          <w:tcPr>
            <w:tcW w:w="2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3FB84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43464663.06</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B6611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100.00</w:t>
            </w:r>
          </w:p>
        </w:tc>
      </w:tr>
    </w:tbl>
    <w:p w14:paraId="14BA402E">
      <w:pPr>
        <w:spacing w:line="360" w:lineRule="auto"/>
        <w:jc w:val="left"/>
        <w:rPr>
          <w:rFonts w:ascii="Times New Roman" w:hAnsi="Times New Roman" w:eastAsia="宋体" w:cs="Times New Roman"/>
          <w:sz w:val="24"/>
          <w:szCs w:val="24"/>
        </w:rPr>
      </w:pPr>
    </w:p>
    <w:p w14:paraId="501C2644">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另外，土壤是昌都草原生态系统碳汇评估中不确定性最大的部分。研究结果表明，土壤碳密度随着植被生产力的增加而增强，但随着年均温的升高而降低，这表明植被生产力的增加将显著促进土壤碳输入和土壤碳累积，而变暖会加速土壤有机碳分解、导致土壤碳损失。此外，空间分布上土壤有机碳密度对植被生产力的敏感性远大于其对温度的敏感性，表明植被生长变化是高原土壤有机碳变化的主要驱动因素。根据统计结果，昌都市全市草地土壤碳储量估算结果为8.18亿t，土壤碳储量占总碳储量的比例为94.95%。昌都市各县（区）土壤碳储量详见下表。</w:t>
      </w:r>
    </w:p>
    <w:p w14:paraId="4ACB343E">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表3-20昌都市各县（区）土壤碳储量统计表</w:t>
      </w:r>
    </w:p>
    <w:tbl>
      <w:tblPr>
        <w:tblStyle w:val="24"/>
        <w:tblW w:w="8981" w:type="dxa"/>
        <w:tblInd w:w="0" w:type="dxa"/>
        <w:tblLayout w:type="fixed"/>
        <w:tblCellMar>
          <w:top w:w="0" w:type="dxa"/>
          <w:left w:w="0" w:type="dxa"/>
          <w:bottom w:w="0" w:type="dxa"/>
          <w:right w:w="0" w:type="dxa"/>
        </w:tblCellMar>
      </w:tblPr>
      <w:tblGrid>
        <w:gridCol w:w="1604"/>
        <w:gridCol w:w="2726"/>
        <w:gridCol w:w="2134"/>
        <w:gridCol w:w="2517"/>
      </w:tblGrid>
      <w:tr w14:paraId="5B187B41">
        <w:tblPrEx>
          <w:tblCellMar>
            <w:top w:w="0" w:type="dxa"/>
            <w:left w:w="0" w:type="dxa"/>
            <w:bottom w:w="0" w:type="dxa"/>
            <w:right w:w="0" w:type="dxa"/>
          </w:tblCellMar>
        </w:tblPrEx>
        <w:trPr>
          <w:trHeight w:val="457"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8CE9D7">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县</w:t>
            </w:r>
            <w:r>
              <w:rPr>
                <w:rFonts w:ascii="Times New Roman" w:hAnsi="Times New Roman" w:eastAsia="宋体" w:cs="Times New Roman"/>
                <w:kern w:val="0"/>
                <w:sz w:val="20"/>
                <w:szCs w:val="20"/>
              </w:rPr>
              <w:t>(</w:t>
            </w:r>
            <w:r>
              <w:rPr>
                <w:rFonts w:hint="eastAsia" w:ascii="宋体" w:hAnsi="宋体" w:eastAsia="宋体" w:cs="宋体"/>
                <w:kern w:val="0"/>
                <w:sz w:val="20"/>
                <w:szCs w:val="20"/>
              </w:rPr>
              <w:t>区</w:t>
            </w:r>
            <w:r>
              <w:rPr>
                <w:rFonts w:ascii="Times New Roman" w:hAnsi="Times New Roman" w:eastAsia="宋体" w:cs="Times New Roman"/>
                <w:kern w:val="0"/>
                <w:sz w:val="20"/>
                <w:szCs w:val="20"/>
              </w:rPr>
              <w:t>)</w:t>
            </w:r>
            <w:r>
              <w:rPr>
                <w:rFonts w:hint="eastAsia" w:ascii="宋体" w:hAnsi="宋体" w:eastAsia="宋体" w:cs="宋体"/>
                <w:kern w:val="0"/>
                <w:sz w:val="20"/>
                <w:szCs w:val="20"/>
              </w:rPr>
              <w:t>名称</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C2975D">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植被总碳储量（</w:t>
            </w:r>
            <w:r>
              <w:rPr>
                <w:rFonts w:hint="eastAsia" w:ascii="Times New Roman" w:hAnsi="Times New Roman" w:eastAsia="宋体" w:cs="Times New Roman"/>
                <w:kern w:val="0"/>
                <w:sz w:val="20"/>
                <w:szCs w:val="20"/>
              </w:rPr>
              <w:t>t）</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72EE5B">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土壤碳储量（</w:t>
            </w:r>
            <w:r>
              <w:rPr>
                <w:rFonts w:hint="eastAsia" w:ascii="Times New Roman" w:hAnsi="Times New Roman" w:eastAsia="宋体" w:cs="Times New Roman"/>
                <w:kern w:val="0"/>
                <w:sz w:val="20"/>
                <w:szCs w:val="20"/>
              </w:rPr>
              <w:t>t）</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EC0474">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总碳储量（</w:t>
            </w:r>
            <w:r>
              <w:rPr>
                <w:rFonts w:hint="eastAsia" w:ascii="Times New Roman" w:hAnsi="Times New Roman" w:eastAsia="宋体" w:cs="Times New Roman"/>
                <w:kern w:val="0"/>
                <w:sz w:val="20"/>
                <w:szCs w:val="20"/>
              </w:rPr>
              <w:t>t）</w:t>
            </w:r>
          </w:p>
        </w:tc>
      </w:tr>
      <w:tr w14:paraId="43FDA798">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5D9FD5">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卡若区</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2B7E7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335079787</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8959E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66905095.26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9D128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70255893.13</w:t>
            </w:r>
          </w:p>
        </w:tc>
      </w:tr>
      <w:tr w14:paraId="60661CFC">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755C90">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江达县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0B0A5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7742124.24</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45AA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151131973.70</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4D7AD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158874097</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94</w:t>
            </w:r>
          </w:p>
        </w:tc>
      </w:tr>
      <w:tr w14:paraId="2AFDD8A1">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2F82FC">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贡觉县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A340A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3010119</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55</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C0C8E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58378022.66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0610E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61388142.21</w:t>
            </w:r>
          </w:p>
        </w:tc>
      </w:tr>
      <w:tr w14:paraId="3E37F063">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D4B14D">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类乌齐县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A31DB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2426542.85</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8CA0B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48494765.66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FBCC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50921308.51</w:t>
            </w:r>
          </w:p>
        </w:tc>
      </w:tr>
      <w:tr w14:paraId="57E48977">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22DE84">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青县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4E911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5991149.26</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265E4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147590679.00</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7BB32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153581828.26</w:t>
            </w:r>
          </w:p>
        </w:tc>
      </w:tr>
      <w:tr w14:paraId="7CCA523B">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A1E5F6">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察雅县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3B3F0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4460555.01</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A2786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69488302.38</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3679E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73948857.39</w:t>
            </w:r>
          </w:p>
        </w:tc>
      </w:tr>
      <w:tr w14:paraId="36672F91">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7D0C4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八宿县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81E9C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4466171</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43</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739D4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79380132.68</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F1ECF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83846304</w:t>
            </w:r>
            <w:r>
              <w:rPr>
                <w:rFonts w:hint="eastAsia" w:ascii="Times New Roman" w:hAnsi="Times New Roman" w:eastAsia="宋体" w:cs="Times New Roman"/>
                <w:kern w:val="0"/>
                <w:sz w:val="20"/>
                <w:szCs w:val="20"/>
              </w:rPr>
              <w:t>.</w:t>
            </w:r>
            <w:r>
              <w:rPr>
                <w:rFonts w:ascii="Times New Roman" w:hAnsi="Times New Roman" w:eastAsia="宋体" w:cs="Times New Roman"/>
                <w:kern w:val="0"/>
                <w:sz w:val="20"/>
                <w:szCs w:val="20"/>
              </w:rPr>
              <w:t>11</w:t>
            </w:r>
          </w:p>
        </w:tc>
      </w:tr>
      <w:tr w14:paraId="0DDE949D">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80AA11">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左贡县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B0AC2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42654 06.14</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E2D1F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61847593.47</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7AFF3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66112999.61</w:t>
            </w:r>
          </w:p>
        </w:tc>
      </w:tr>
      <w:tr w14:paraId="1BF7F850">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A530B8">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芒康县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04BA4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2526523.51</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43520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40017077.62</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85096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42543601.13</w:t>
            </w:r>
          </w:p>
        </w:tc>
      </w:tr>
      <w:tr w14:paraId="2D7CE092">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957803">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洛隆县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C781A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1966610.07</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4C213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36873664.50</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8DB6B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38840274.57</w:t>
            </w:r>
          </w:p>
        </w:tc>
      </w:tr>
      <w:tr w14:paraId="6A2BADB6">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7FAFF8">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边坝县</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D3F15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3258663.13</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0B3BB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57422293.43</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57E74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60680956.56</w:t>
            </w:r>
          </w:p>
        </w:tc>
      </w:tr>
      <w:tr w14:paraId="5FA2DF77">
        <w:tblPrEx>
          <w:tblCellMar>
            <w:top w:w="0" w:type="dxa"/>
            <w:left w:w="0" w:type="dxa"/>
            <w:bottom w:w="0" w:type="dxa"/>
            <w:right w:w="0" w:type="dxa"/>
          </w:tblCellMar>
        </w:tblPrEx>
        <w:trPr>
          <w:trHeight w:val="510" w:hRule="atLeast"/>
        </w:trPr>
        <w:tc>
          <w:tcPr>
            <w:tcW w:w="160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A1C1BA">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合计</w:t>
            </w:r>
          </w:p>
        </w:tc>
        <w:tc>
          <w:tcPr>
            <w:tcW w:w="272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463BC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43464663.06</w:t>
            </w:r>
          </w:p>
        </w:tc>
        <w:tc>
          <w:tcPr>
            <w:tcW w:w="21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81358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8175296 00.36</w:t>
            </w:r>
          </w:p>
        </w:tc>
        <w:tc>
          <w:tcPr>
            <w:tcW w:w="25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C387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860994263.42</w:t>
            </w:r>
          </w:p>
        </w:tc>
      </w:tr>
    </w:tbl>
    <w:p w14:paraId="11E26AD1">
      <w:pPr>
        <w:spacing w:line="360" w:lineRule="auto"/>
        <w:jc w:val="left"/>
        <w:rPr>
          <w:rFonts w:ascii="Times New Roman" w:hAnsi="Times New Roman" w:eastAsia="宋体" w:cs="Times New Roman"/>
          <w:sz w:val="24"/>
          <w:szCs w:val="24"/>
          <w:vertAlign w:val="subscript"/>
        </w:rPr>
      </w:pPr>
    </w:p>
    <w:p w14:paraId="2CF4A3E7">
      <w:pPr>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cs="Times New Roman"/>
          <w:sz w:val="24"/>
          <w:szCs w:val="24"/>
        </w:rPr>
        <w:t>此外，根据该报告中的“10.3.2草原碳汇增量潜力估算”，将草原工程进行划分，其中，禁牧围栏属于围封草场，休牧围栏属于降低牧压，退化草原补播、人工饲草地建设、毒害草治理、草原改良等措施属于人工种草。根据2007-2023年昌都市各县（区）草原工程面积及碳汇增量统计表可以得出，全市围封草场、降低牧压、人工种草三类工程面积分别为158667、1174596、407265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，三类工程碳汇增量分别为130265、909137、219923tCO</w:t>
      </w:r>
      <w:r>
        <w:rPr>
          <w:rFonts w:hint="eastAsia" w:ascii="Times New Roman" w:hAnsi="Times New Roman" w:cs="Times New Roman"/>
          <w:sz w:val="24"/>
          <w:szCs w:val="24"/>
          <w:vertAlign w:val="subscript"/>
        </w:rPr>
        <w:t>2</w:t>
      </w:r>
      <w:r>
        <w:rPr>
          <w:rFonts w:hint="eastAsia" w:ascii="Times New Roman" w:hAnsi="Times New Roman" w:cs="Times New Roman"/>
          <w:sz w:val="24"/>
          <w:szCs w:val="24"/>
        </w:rPr>
        <w:t>e，三类工程年均碳汇增量分别达到了0.82、0.77、0.54tCO</w:t>
      </w:r>
      <w:r>
        <w:rPr>
          <w:rFonts w:hint="eastAsia" w:ascii="Times New Roman" w:hAnsi="Times New Roman" w:cs="Times New Roman"/>
          <w:sz w:val="24"/>
          <w:szCs w:val="24"/>
          <w:vertAlign w:val="subscript"/>
        </w:rPr>
        <w:t>2</w:t>
      </w:r>
      <w:r>
        <w:rPr>
          <w:rFonts w:hint="eastAsia" w:ascii="Times New Roman" w:hAnsi="Times New Roman" w:cs="Times New Roman"/>
          <w:sz w:val="24"/>
          <w:szCs w:val="24"/>
        </w:rPr>
        <w:t>e/hm</w:t>
      </w:r>
      <w:r>
        <w:rPr>
          <w:rFonts w:hint="eastAsia" w:ascii="Times New Roman" w:hAnsi="Times New Roman" w:cs="Times New Roman"/>
          <w:sz w:val="24"/>
          <w:szCs w:val="24"/>
          <w:vertAlign w:val="superscript"/>
        </w:rPr>
        <w:t>2</w:t>
      </w:r>
      <w:r>
        <w:rPr>
          <w:rFonts w:hint="eastAsia" w:ascii="Times New Roman" w:hAnsi="Times New Roman" w:cs="Times New Roman"/>
          <w:sz w:val="24"/>
          <w:szCs w:val="24"/>
        </w:rPr>
        <w:t>，各类草原工程带来的增汇效益显著。</w:t>
      </w:r>
    </w:p>
    <w:p w14:paraId="3A9BA1D8">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43" w:name="_Toc25330"/>
      <w:r>
        <w:rPr>
          <w:rStyle w:val="28"/>
          <w:rFonts w:hint="default" w:ascii="Times New Roman"/>
          <w:color w:val="auto"/>
          <w:kern w:val="2"/>
          <w:sz w:val="32"/>
          <w:szCs w:val="32"/>
          <w:u w:val="none"/>
        </w:rPr>
        <w:t>草原保护建设主要成就</w:t>
      </w:r>
      <w:bookmarkEnd w:id="43"/>
    </w:p>
    <w:p w14:paraId="7B74C6D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草原保护制度体系建设逐步推进</w:t>
      </w:r>
    </w:p>
    <w:p w14:paraId="6B815663">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落实草原生态补助奖励政策，确保草畜平衡和禁牧措施落到实处。林长制、草原承包经营制度、草原征占用审核审批制度逐步落实、推进、完善，深化、细化工作机制。草原承包经营制度逐步推进完善，并向确权颁证、规范流转的新阶段推进，对稳定草原产权、保障农牧民权益、助力草原生态保护具有重要意义。不断规范对草原征占用审核审批管理，严格控制草原征占用规模，严禁出现未批先占、违法占用草原等情况，为草原工作搭建了框架。</w:t>
      </w:r>
    </w:p>
    <w:p w14:paraId="2CB6D70E">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草原资源调查监测初成体系</w:t>
      </w:r>
    </w:p>
    <w:p w14:paraId="56595A2E">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市按照自治区林草局的安排部署，常规化推进林草湿荒综合监测、草原健康和退化评估、草原资源生态监测，完成了草原有害生物普查和林草湿外来入侵物种普查，初步得到了草原资源空间分布、类型、健康状况、退化程度、有害生物和外来入侵物种发生情况和发生趋势等草原资源属性，为编制草原保护修复规划、修复治理项目设计、草原监督管理等提供决策支撑。</w:t>
      </w:r>
    </w:p>
    <w:p w14:paraId="4D479797">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草原生态修复治理规模成果显著</w:t>
      </w:r>
    </w:p>
    <w:p w14:paraId="4B9C4F62">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市持续推进规模化草原生态修复工程，且成效逐年累加。因地制宜实施草原生态修复相关工程项目（退牧还草、退耕还草、草原生态修复治理、草原基础设施建设、草原鼠虫毒害草防治等），草原植被状况持续改善，全市草原综合植被盖度已达78.04%，草原的产草能力和生态承载能力显著增强。</w:t>
      </w:r>
    </w:p>
    <w:p w14:paraId="341B12C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草原产业发展格局初步形成</w:t>
      </w:r>
    </w:p>
    <w:p w14:paraId="06425649">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市依托“林长+”机制，构建起以特色畜牧养殖为核心、生态文旅为延伸、绿色多元产业为补充的草原产业发展格局，既立足本地草原资源禀赋做强传统产业，又创新模式拓展增收路径，实现生态保护与产业发展的协同推进。</w:t>
      </w:r>
    </w:p>
    <w:p w14:paraId="5D2B2DBC">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从冬虫夏草产业来说，开展年度常规采集和冬虫夏草普查，促进冬虫夏草资源保护与利用。保障农牧民切实利益的同时，摸清了资源的储量和分布，为今后制定合理的资源管理政策提供科学依据。</w:t>
      </w:r>
    </w:p>
    <w:p w14:paraId="2B324FCF">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草原普法工作不断强化</w:t>
      </w:r>
    </w:p>
    <w:p w14:paraId="51352E3B">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以全国草原普法宣传月活动主题为主线，深入宣传草原法律法规。通过工作人员、科技特派员、草管员、村“两委”班子开展送法下乡、现场普法、执法培训、法律咨询和“</w:t>
      </w:r>
      <w:bookmarkStart w:id="143" w:name="_GoBack"/>
      <w:bookmarkEnd w:id="143"/>
      <w:r>
        <w:rPr>
          <w:rFonts w:hint="eastAsia" w:ascii="Times New Roman" w:hAnsi="Times New Roman" w:eastAsia="宋体" w:cs="Times New Roman"/>
          <w:sz w:val="24"/>
          <w:szCs w:val="24"/>
          <w:lang w:eastAsia="zh-CN"/>
        </w:rPr>
        <w:t>法治宣传</w:t>
      </w:r>
      <w:r>
        <w:rPr>
          <w:rFonts w:hint="eastAsia" w:ascii="Times New Roman" w:hAnsi="Times New Roman" w:eastAsia="宋体" w:cs="Times New Roman"/>
          <w:sz w:val="24"/>
          <w:szCs w:val="24"/>
        </w:rPr>
        <w:t>一条街活动”，采取灵活多样的形式广泛宣传《中华人民共和国草原法》、《西藏自治区冬虫夏草采集管理暂行办法》、《昌都市虫草交易管理暂行办法》、《草原执法手册》、《昌都市关于贯彻落实西藏自治区冬虫夏草采集与交易管理暂行办法的实施办法(暂行)》、《草原征占用审核审批管理规范》、《草原征占用审核审批管理规范(暂行)》、《森林草原防火条例》、《最高人民法院关于审理破坏草原审理破坏草原资源刑事案件应用法律若干问题的解释》、《国务院办公厅关于加强草原保护修复的若干意见》等相关草原法规和规章制度，并用藏汉双语的形式制作成宣传册子或图画，积极动员全市广大干部群众广泛关注并参与“草原普法宣传月”活动，持续夯实依法加强草原保护修复的群众基础。</w:t>
      </w:r>
    </w:p>
    <w:p w14:paraId="33D06103">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44" w:name="_Toc11899"/>
      <w:r>
        <w:rPr>
          <w:rStyle w:val="28"/>
          <w:rFonts w:hint="default" w:ascii="Times New Roman"/>
          <w:color w:val="auto"/>
          <w:kern w:val="2"/>
          <w:sz w:val="32"/>
          <w:szCs w:val="32"/>
          <w:u w:val="none"/>
        </w:rPr>
        <w:t>存在的主要问题</w:t>
      </w:r>
      <w:bookmarkEnd w:id="44"/>
    </w:p>
    <w:p w14:paraId="0B92999A">
      <w:pPr>
        <w:pStyle w:val="4"/>
        <w:numPr>
          <w:ilvl w:val="2"/>
          <w:numId w:val="2"/>
        </w:numPr>
        <w:spacing w:before="120" w:after="120" w:line="360" w:lineRule="auto"/>
        <w:rPr>
          <w:rStyle w:val="28"/>
          <w:color w:val="auto"/>
          <w:sz w:val="28"/>
          <w:szCs w:val="28"/>
          <w:u w:val="none"/>
        </w:rPr>
      </w:pPr>
      <w:bookmarkStart w:id="45" w:name="_Toc27128"/>
      <w:r>
        <w:rPr>
          <w:rStyle w:val="28"/>
          <w:rFonts w:hint="eastAsia"/>
          <w:color w:val="auto"/>
          <w:sz w:val="28"/>
          <w:szCs w:val="28"/>
          <w:u w:val="none"/>
        </w:rPr>
        <w:t>草原生态依然脆弱，保护修复任务艰巨</w:t>
      </w:r>
      <w:bookmarkEnd w:id="45"/>
    </w:p>
    <w:p w14:paraId="5AC03703">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昌都位于横断山脉腹地，山高谷深，地形破碎，土壤层薄，水热条件垂直变化极大，地质结构不稳定、地质灾害多发，是青藏高原自然环境最复杂、自然灾害最频繁的区域之一。由于所处特殊的环境地理位置，昌都市草地生态系统极其敏感，一旦破坏，恢复难度极大、成本极高。</w:t>
      </w:r>
      <w:r>
        <w:rPr>
          <w:rFonts w:ascii="Times New Roman" w:hAnsi="Times New Roman" w:eastAsia="宋体" w:cs="Times New Roman"/>
          <w:sz w:val="24"/>
          <w:szCs w:val="24"/>
        </w:rPr>
        <w:t>根据林草综合监测数据，昌都市草原面积为</w:t>
      </w:r>
      <w:r>
        <w:rPr>
          <w:rFonts w:ascii="Times New Roman" w:hAnsi="Times New Roman" w:cs="Times New Roman"/>
          <w:sz w:val="24"/>
          <w:szCs w:val="24"/>
        </w:rPr>
        <w:t>5092449.10公顷，占全市国土面积（1098.44万公顷）的46.36%。其中，退化草原面积为2357175.60公顷，占全市草原面积的</w:t>
      </w:r>
      <w:r>
        <w:rPr>
          <w:rFonts w:ascii="Times New Roman" w:hAnsi="Times New Roman" w:eastAsia="宋体" w:cs="Times New Roman"/>
          <w:sz w:val="24"/>
          <w:szCs w:val="24"/>
        </w:rPr>
        <w:t>46.33%，</w:t>
      </w:r>
      <w:r>
        <w:rPr>
          <w:rFonts w:hint="eastAsia" w:ascii="Times New Roman" w:hAnsi="Times New Roman" w:eastAsia="宋体" w:cs="Times New Roman"/>
          <w:sz w:val="24"/>
          <w:szCs w:val="24"/>
        </w:rPr>
        <w:t>包括轻度退化草原</w:t>
      </w:r>
      <w:r>
        <w:rPr>
          <w:rFonts w:hint="eastAsia" w:ascii="Times New Roman" w:hAnsi="Times New Roman" w:cs="Times New Roman"/>
          <w:sz w:val="24"/>
          <w:szCs w:val="24"/>
        </w:rPr>
        <w:t>1277676.50 公顷，占比为25.11%，</w:t>
      </w:r>
      <w:r>
        <w:rPr>
          <w:rFonts w:hint="eastAsia" w:ascii="Times New Roman" w:hAnsi="Times New Roman" w:eastAsia="宋体" w:cs="Times New Roman"/>
          <w:sz w:val="24"/>
          <w:szCs w:val="24"/>
        </w:rPr>
        <w:t>中度退化草原</w:t>
      </w:r>
      <w:r>
        <w:rPr>
          <w:rFonts w:hint="eastAsia" w:ascii="Times New Roman" w:hAnsi="Times New Roman" w:cs="Times New Roman"/>
          <w:sz w:val="24"/>
          <w:szCs w:val="24"/>
        </w:rPr>
        <w:t>902401.23公顷，占比为17.74%，</w:t>
      </w:r>
      <w:r>
        <w:rPr>
          <w:rFonts w:hint="eastAsia" w:ascii="Times New Roman" w:hAnsi="Times New Roman" w:eastAsia="宋体" w:cs="Times New Roman"/>
          <w:sz w:val="24"/>
          <w:szCs w:val="24"/>
        </w:rPr>
        <w:t>重度退化草原</w:t>
      </w:r>
      <w:r>
        <w:rPr>
          <w:rFonts w:hint="eastAsia" w:ascii="Times New Roman" w:hAnsi="Times New Roman" w:cs="Times New Roman"/>
          <w:sz w:val="24"/>
          <w:szCs w:val="24"/>
        </w:rPr>
        <w:t>177097.87公顷，占比为3.48%。部分地区，如八宿县、丁青县、左贡县、芒康县等干热河谷地带，草原退化问题尤为突出。</w:t>
      </w:r>
      <w:r>
        <w:rPr>
          <w:rFonts w:hint="eastAsia" w:ascii="Times New Roman" w:hAnsi="Times New Roman" w:eastAsia="宋体" w:cs="Times New Roman"/>
          <w:sz w:val="24"/>
          <w:szCs w:val="24"/>
        </w:rPr>
        <w:t>草原鼠害、虫害以及入侵物种危害依然严重，发生面积大，草原资源和环境承受的压力大。尽管每年实施围栏休牧、人工种草和草地改良数十万亩，但相对于上千万亩的退化草原基数，恢复速度仍显不足。自然条件下，高寒草原的自然恢复周期需要数十年甚至上百年。全面保护和系统修复草原的任务十分艰巨。</w:t>
      </w:r>
    </w:p>
    <w:p w14:paraId="6CCCB246">
      <w:pPr>
        <w:pStyle w:val="4"/>
        <w:numPr>
          <w:ilvl w:val="2"/>
          <w:numId w:val="2"/>
        </w:numPr>
        <w:spacing w:before="120" w:after="120" w:line="360" w:lineRule="auto"/>
        <w:rPr>
          <w:rStyle w:val="28"/>
          <w:color w:val="auto"/>
          <w:sz w:val="28"/>
          <w:szCs w:val="28"/>
          <w:u w:val="none"/>
        </w:rPr>
      </w:pPr>
      <w:bookmarkStart w:id="46" w:name="_Toc5668"/>
      <w:r>
        <w:rPr>
          <w:rStyle w:val="28"/>
          <w:rFonts w:hint="eastAsia"/>
          <w:color w:val="auto"/>
          <w:sz w:val="28"/>
          <w:szCs w:val="28"/>
          <w:u w:val="none"/>
        </w:rPr>
        <w:t>草原保护与发展的矛盾依然突出</w:t>
      </w:r>
      <w:bookmarkEnd w:id="46"/>
    </w:p>
    <w:p w14:paraId="487084B4">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农牧业是昌都市居民的主要经济来源，农牧民依赖草原资源进行种植和畜牧业。然而，为了满足粮食需求和经济发展的要求，农牧业往往会过度开垦和放牧，引发草原过度利用和破损从而导致草原退化。而且，为了促进经济增长和改善人民生活水平，政府和当地居民对资源开发和基础设施建设的需求很大，导致对草原资源的过度开发，进一步加剧了草原退化和生态环境破坏。另外，也存在对草原资源的利用相对粗放，产业转型、禁牧休牧、草畜平衡问题在部分区域较为突出，农牧民对草原生态保护意识不足等问题。</w:t>
      </w:r>
    </w:p>
    <w:p w14:paraId="78044053">
      <w:pPr>
        <w:pStyle w:val="4"/>
        <w:numPr>
          <w:ilvl w:val="2"/>
          <w:numId w:val="2"/>
        </w:numPr>
        <w:spacing w:before="120" w:after="120" w:line="360" w:lineRule="auto"/>
        <w:rPr>
          <w:rStyle w:val="28"/>
          <w:color w:val="auto"/>
          <w:sz w:val="28"/>
          <w:szCs w:val="28"/>
          <w:u w:val="none"/>
        </w:rPr>
      </w:pPr>
      <w:bookmarkStart w:id="47" w:name="_Toc2791"/>
      <w:r>
        <w:rPr>
          <w:rStyle w:val="28"/>
          <w:rFonts w:hint="eastAsia"/>
          <w:color w:val="auto"/>
          <w:sz w:val="28"/>
          <w:szCs w:val="28"/>
          <w:u w:val="none"/>
        </w:rPr>
        <w:t>草原综合治理体系不健全</w:t>
      </w:r>
      <w:bookmarkEnd w:id="47"/>
    </w:p>
    <w:p w14:paraId="29AFAF58">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草原综合治理涉及林草、农业农村、自然资源、生态环境、水利、乡村振兴等多个部门，存在责任划分不明确，不同部门之间的协调合作不够紧密等问题，导致治理工作的推进受到阻碍。在草原综合治理过程中，缺乏科学技术的支持，限制了治理工作的科学性和可持续性。同时，缺乏专业人才的培养和引进，也影响了草原综合治理能力的提升。草原综合治理工程存在资金投入不足问题，限制了治理工作的开展。</w:t>
      </w:r>
    </w:p>
    <w:p w14:paraId="04E5E125">
      <w:pPr>
        <w:pStyle w:val="4"/>
        <w:numPr>
          <w:ilvl w:val="2"/>
          <w:numId w:val="2"/>
        </w:numPr>
        <w:spacing w:before="120" w:after="120" w:line="360" w:lineRule="auto"/>
        <w:rPr>
          <w:rStyle w:val="28"/>
          <w:color w:val="auto"/>
          <w:sz w:val="28"/>
          <w:szCs w:val="28"/>
          <w:u w:val="none"/>
        </w:rPr>
      </w:pPr>
      <w:bookmarkStart w:id="48" w:name="_Toc16702"/>
      <w:r>
        <w:rPr>
          <w:rStyle w:val="28"/>
          <w:rFonts w:hint="eastAsia"/>
          <w:color w:val="auto"/>
          <w:sz w:val="28"/>
          <w:szCs w:val="28"/>
          <w:u w:val="none"/>
        </w:rPr>
        <w:t>草原科技支撑体系薄弱</w:t>
      </w:r>
      <w:bookmarkEnd w:id="48"/>
    </w:p>
    <w:p w14:paraId="43799D2C">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科技人才储备不足</w:t>
      </w:r>
      <w:r>
        <w:rPr>
          <w:rFonts w:hint="eastAsia" w:ascii="Times New Roman" w:hAnsi="Times New Roman" w:cs="Times New Roman"/>
          <w:sz w:val="24"/>
          <w:szCs w:val="24"/>
        </w:rPr>
        <w:t>，</w:t>
      </w:r>
      <w:r>
        <w:rPr>
          <w:rFonts w:ascii="Times New Roman" w:hAnsi="Times New Roman" w:cs="Times New Roman"/>
          <w:sz w:val="24"/>
          <w:szCs w:val="24"/>
          <w:shd w:val="clear" w:color="auto" w:fill="FFFFFF"/>
        </w:rPr>
        <w:t>昌都市农牧科技专业技术人员队伍在数量上存在明显不足，截至2023年，昌都市农牧科技专业技术人员总数约为500人，而实际需求量在1500人以上，人才缺口达1000人</w:t>
      </w:r>
      <w:r>
        <w:rPr>
          <w:rFonts w:hint="eastAsia"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人才短缺在基层尤为突出。</w:t>
      </w:r>
      <w:r>
        <w:rPr>
          <w:rFonts w:hint="eastAsia" w:ascii="Times New Roman" w:hAnsi="Times New Roman" w:cs="Times New Roman"/>
          <w:sz w:val="24"/>
          <w:szCs w:val="24"/>
          <w:shd w:val="clear" w:color="auto" w:fill="FFFFFF"/>
        </w:rPr>
        <w:t>其次是</w:t>
      </w:r>
      <w:r>
        <w:rPr>
          <w:rFonts w:ascii="Times New Roman" w:hAnsi="Times New Roman" w:cs="Times New Roman"/>
          <w:sz w:val="24"/>
          <w:szCs w:val="24"/>
          <w:shd w:val="clear" w:color="auto" w:fill="FFFFFF"/>
        </w:rPr>
        <w:t>自主创新能力、基础理论研究和企业技术创新能力薄弱，科技应用和转化率不高，饲草科学种植和退化草地修复技术、科学养殖、精深加工技术等得不到及时推广与运用。草原防火基础设施和科研监测设施也相对薄弱。</w:t>
      </w:r>
      <w:r>
        <w:rPr>
          <w:rFonts w:ascii="Times New Roman" w:hAnsi="Times New Roman" w:cs="Times New Roman"/>
          <w:sz w:val="24"/>
          <w:szCs w:val="24"/>
        </w:rPr>
        <w:t>因此，</w:t>
      </w:r>
      <w:r>
        <w:rPr>
          <w:rFonts w:ascii="Times New Roman" w:hAnsi="Times New Roman" w:cs="Times New Roman"/>
          <w:sz w:val="24"/>
          <w:szCs w:val="24"/>
          <w:shd w:val="clear" w:color="auto" w:fill="FFFFFF"/>
        </w:rPr>
        <w:t>需要从人才引进培养、科技创新攻关、基础设施建设、服务体系完善等方面综合施策，全面提升草原科技支撑能力。</w:t>
      </w:r>
    </w:p>
    <w:p w14:paraId="21E7EF5E">
      <w:pPr>
        <w:pStyle w:val="4"/>
        <w:numPr>
          <w:ilvl w:val="2"/>
          <w:numId w:val="2"/>
        </w:numPr>
        <w:spacing w:before="120" w:after="120" w:line="360" w:lineRule="auto"/>
        <w:rPr>
          <w:rStyle w:val="28"/>
          <w:color w:val="auto"/>
          <w:sz w:val="28"/>
          <w:szCs w:val="28"/>
          <w:u w:val="none"/>
        </w:rPr>
      </w:pPr>
      <w:bookmarkStart w:id="49" w:name="_Toc7945"/>
      <w:r>
        <w:rPr>
          <w:rStyle w:val="28"/>
          <w:rFonts w:hint="eastAsia"/>
          <w:color w:val="auto"/>
          <w:sz w:val="28"/>
          <w:szCs w:val="28"/>
          <w:u w:val="none"/>
        </w:rPr>
        <w:t>草原产业发展相对滞后</w:t>
      </w:r>
      <w:bookmarkEnd w:id="49"/>
    </w:p>
    <w:p w14:paraId="37AC168B">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人工草地发展不足。昌都市人工牧草地6388.22公顷，仅占昌都市草地面积的0.13%，人工草原建植面积小，布局分散不成规模，产收机械化程度低，亩产量不高，草产品品质不高，饲草料供需缺口较大。草产品、草种业种植基地、生产、加工能力等虽然快速发展，但初级产品多、精深加工少、产品附加值低、产业链不长等情况还普遍存在，促进草产业发展的长效机制还没有形成，产业区域布局不合理，品牌建设滞后。规模化、规范化、科学化管理的经营主体还没有培育起来，现有的企业带动能力还不强，市场竞争力还比较弱。</w:t>
      </w:r>
    </w:p>
    <w:p w14:paraId="5F6D008D">
      <w:pPr>
        <w:pStyle w:val="4"/>
        <w:numPr>
          <w:ilvl w:val="2"/>
          <w:numId w:val="2"/>
        </w:numPr>
        <w:spacing w:before="120" w:after="120" w:line="360" w:lineRule="auto"/>
        <w:rPr>
          <w:rStyle w:val="28"/>
          <w:color w:val="auto"/>
          <w:sz w:val="28"/>
          <w:szCs w:val="28"/>
          <w:u w:val="none"/>
        </w:rPr>
      </w:pPr>
      <w:bookmarkStart w:id="50" w:name="_Toc1831"/>
      <w:r>
        <w:rPr>
          <w:rStyle w:val="28"/>
          <w:rFonts w:hint="eastAsia"/>
          <w:color w:val="auto"/>
          <w:sz w:val="28"/>
          <w:szCs w:val="28"/>
          <w:u w:val="none"/>
        </w:rPr>
        <w:t>监督执法管理能力不足</w:t>
      </w:r>
      <w:bookmarkEnd w:id="50"/>
    </w:p>
    <w:p w14:paraId="2AEFEC5F">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昌都市现有草原监管行政管理人员和草原技术推广单位专业技术人员力量薄弱，基层技术人员承担草原、林业等多项工作，工作任务繁重，难以做到全方位服务。基本草原保护、草原资源用途管制等制度不健全，草原执法依据不充分。草原执法监管体系不完善，草原执法人员相对不足，执法设备缺乏，存在监管面积大、任务重、手段落后等困难，造成草原违法行为无法及时发现和查处，与当前草原生态保护工作的需要还存在很大差距。草原执法队伍、执法人员执法水平都有待提高，以便有效承接草原监督执法事项。</w:t>
      </w:r>
    </w:p>
    <w:p w14:paraId="6118FF38">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51" w:name="_Toc32381"/>
      <w:r>
        <w:rPr>
          <w:rStyle w:val="28"/>
          <w:rFonts w:hint="default" w:ascii="Times New Roman"/>
          <w:color w:val="auto"/>
          <w:kern w:val="2"/>
          <w:sz w:val="32"/>
          <w:szCs w:val="32"/>
          <w:u w:val="none"/>
        </w:rPr>
        <w:t>发展机遇</w:t>
      </w:r>
      <w:bookmarkEnd w:id="51"/>
    </w:p>
    <w:p w14:paraId="7F881DB6">
      <w:pPr>
        <w:pStyle w:val="4"/>
        <w:numPr>
          <w:ilvl w:val="2"/>
          <w:numId w:val="2"/>
        </w:numPr>
        <w:spacing w:before="120" w:after="120" w:line="360" w:lineRule="auto"/>
        <w:rPr>
          <w:rStyle w:val="28"/>
          <w:color w:val="auto"/>
          <w:sz w:val="28"/>
          <w:szCs w:val="28"/>
          <w:u w:val="none"/>
        </w:rPr>
      </w:pPr>
      <w:bookmarkStart w:id="52" w:name="_Toc11477"/>
      <w:r>
        <w:rPr>
          <w:rStyle w:val="28"/>
          <w:rFonts w:hint="eastAsia"/>
          <w:color w:val="auto"/>
          <w:sz w:val="28"/>
          <w:szCs w:val="28"/>
          <w:u w:val="none"/>
        </w:rPr>
        <w:t>生态文明建设为草原产业发展提供了根本遵循</w:t>
      </w:r>
      <w:bookmarkEnd w:id="52"/>
    </w:p>
    <w:p w14:paraId="0B52858D">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以习近平同志为核心的党中央高度重视生态文明建设，强调“林草兴则生态兴”，森林和草原对国家生态安全具有基础性、战略性作用。高度重视青藏高原的生态建设和保护工作，中央第七次西藏工作座谈会上强调保护好青藏高原生态就是对中华民族生存和发展的最大贡献。要牢固树立绿水青山就是金山银山的理念，坚持对历史负责、对人民负责、对世界负责的态度，把生态文明建设摆在更加突出的位置，守护好高原的生灵草木、万水千山，把青藏高原打造成为全国乃至国际生态文明高地。为加强青藏高原生态保护，防控生态风险，保障生态安全，建设国家生态文明高地，促进经济可持续发展，实现人与自然和谐共生，颁布了《中华人民共和国青藏高原生态保护法》，对青藏高原生态安全布局、生态保护修复、生态风险防控布局提出了要求，指明了方向。西藏自治区党委、政府将习近平总书记提出的“高度重视生态文明建设”重要指示作为西藏生态建设和保护的指导思想，以条例为保障、规划为蓝本、意见为指导、方案为路径，发布《西藏自治区国家生态文明高地建设条例》，印发实施《西藏自治区国家生态文明高地建设规划（2021－2035年）》，构建了全区发展格局，大力推进西藏生态文明建设，坚持生态保护第一。</w:t>
      </w:r>
    </w:p>
    <w:p w14:paraId="25F0A450">
      <w:pPr>
        <w:pStyle w:val="4"/>
        <w:numPr>
          <w:ilvl w:val="2"/>
          <w:numId w:val="2"/>
        </w:numPr>
        <w:spacing w:before="120" w:after="120" w:line="360" w:lineRule="auto"/>
        <w:rPr>
          <w:rStyle w:val="28"/>
          <w:color w:val="auto"/>
          <w:sz w:val="28"/>
          <w:szCs w:val="28"/>
          <w:u w:val="none"/>
        </w:rPr>
      </w:pPr>
      <w:bookmarkStart w:id="53" w:name="_Toc14961"/>
      <w:r>
        <w:rPr>
          <w:rStyle w:val="28"/>
          <w:rFonts w:hint="eastAsia"/>
          <w:color w:val="auto"/>
          <w:sz w:val="28"/>
          <w:szCs w:val="28"/>
          <w:u w:val="none"/>
        </w:rPr>
        <w:t>深化林草机构改革使草原功能定位改变</w:t>
      </w:r>
      <w:bookmarkEnd w:id="53"/>
    </w:p>
    <w:p w14:paraId="7BDB0EEE">
      <w:pPr>
        <w:spacing w:line="360" w:lineRule="auto"/>
        <w:ind w:firstLine="480" w:firstLineChars="200"/>
        <w:jc w:val="left"/>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2018年党和国家机构改革，党中央从建设生态文明和统筹山水林田湖草系统治理的战略高度，决定整合原农业农村部的草原监督管理职责，组建国家林业和草原局，对林业草原工作实行统一管理。草原工作从生产部门转到生态保护部门，充分体现了党中央对草原生态保护工作的高度重视和统筹山水林田湖草系统治理的战略意图，对做好新时期草原工作提出了新要求、新任务。草原工作定位发生变化，实现了以生产服务为主到以生态保护为主的历史性转变。草原工作职能转变为：要切实加大生态系统保护力度，实施重要生态系统保护和修复工程，加强森林、草原、湿地监督管理的统筹协调，大力推进国土绿化，保障国家生态安全。加快建立以国家公园为主体的自然保护地体系，统一推进各类自然保护地的清理规范和归并整合，构建统一规范高效的中国特色国家公园体制。</w:t>
      </w:r>
    </w:p>
    <w:p w14:paraId="2880FD96">
      <w:pPr>
        <w:pStyle w:val="4"/>
        <w:numPr>
          <w:ilvl w:val="2"/>
          <w:numId w:val="2"/>
        </w:numPr>
        <w:spacing w:before="120" w:after="120" w:line="360" w:lineRule="auto"/>
        <w:rPr>
          <w:rStyle w:val="28"/>
          <w:color w:val="auto"/>
          <w:sz w:val="28"/>
          <w:szCs w:val="28"/>
          <w:u w:val="none"/>
        </w:rPr>
      </w:pPr>
      <w:bookmarkStart w:id="54" w:name="_Toc1699"/>
      <w:r>
        <w:rPr>
          <w:rStyle w:val="28"/>
          <w:rFonts w:hint="eastAsia"/>
          <w:color w:val="auto"/>
          <w:sz w:val="28"/>
          <w:szCs w:val="28"/>
          <w:u w:val="none"/>
        </w:rPr>
        <w:t>国家草原保护发展综合改革试验区建设为草原专项规划落地提供了契机</w:t>
      </w:r>
      <w:bookmarkEnd w:id="54"/>
    </w:p>
    <w:p w14:paraId="614D62A7">
      <w:pPr>
        <w:spacing w:line="360" w:lineRule="auto"/>
        <w:ind w:firstLine="480" w:firstLineChars="200"/>
        <w:rPr>
          <w:rFonts w:ascii="Times New Roman" w:hAnsi="Times New Roman" w:eastAsia="宋体" w:cs="Times New Roman"/>
          <w:sz w:val="24"/>
          <w:szCs w:val="24"/>
        </w:rPr>
      </w:pPr>
      <w:r>
        <w:rPr>
          <w:rFonts w:hint="eastAsia" w:ascii="Times New Roman" w:hAnsi="Times New Roman" w:cs="Times New Roman"/>
          <w:sz w:val="24"/>
          <w:szCs w:val="24"/>
          <w:shd w:val="clear" w:color="auto" w:fill="FFFFFF"/>
        </w:rPr>
        <w:t>根据《关于共建草原保护发展综合改革试验区的函》（林草字函〔2023〕1号）《西藏自治区国家草原保护发展综合改革试验区建设实施方案的通知》（藏政办函〔2023〕39号）要求，昌都市卡若区编制了《卡若区草原综合改革试验区实施方案》，并将“编制草原保护修复利用规划”作为重点试验工作，提出坚持“尊重自然，保护优先；系统治理，分区施政；科学利用，绿色发展”的原则，统筹考虑草原生态系统完整性、地理单元的连续性和经济社会发展的可持续性，衔接上位规划，按照草原资源分布、草原类型、健康与退化情况，划分卡若区草原功能分区，根据功能分区特定进行适宜的保护修复利用。</w:t>
      </w:r>
    </w:p>
    <w:p w14:paraId="08A17FB3">
      <w:pPr>
        <w:pStyle w:val="4"/>
        <w:numPr>
          <w:ilvl w:val="2"/>
          <w:numId w:val="2"/>
        </w:numPr>
        <w:spacing w:before="120" w:after="120" w:line="360" w:lineRule="auto"/>
        <w:rPr>
          <w:rStyle w:val="28"/>
          <w:color w:val="auto"/>
          <w:sz w:val="28"/>
          <w:szCs w:val="28"/>
          <w:u w:val="none"/>
        </w:rPr>
      </w:pPr>
      <w:bookmarkStart w:id="55" w:name="_Toc17962"/>
      <w:r>
        <w:rPr>
          <w:rStyle w:val="28"/>
          <w:rFonts w:hint="eastAsia"/>
          <w:color w:val="auto"/>
          <w:sz w:val="28"/>
          <w:szCs w:val="28"/>
          <w:u w:val="none"/>
        </w:rPr>
        <w:t>全面推行林长制为草原保护修复提供了强制要求</w:t>
      </w:r>
      <w:bookmarkEnd w:id="55"/>
    </w:p>
    <w:p w14:paraId="1CDEC3F0">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全面推行林长制是以习近平同志为核心的党中央为加强生态文明建设作出的重大决策部署，是统筹山水林田湖草沙系统治理的重要举措，是做好生态保护建设的重要抓手。建立健全林草长制管理制度，将落实主体责任，严格履行工作管理职责，强化主动服务意识，加强合作联动，紧密配合，形成齐抓共管的工作格局，进一步压实地方党政领导干部保护发展林草资源的政治责任，进一步提高各族干部群众保护林草资源的责任意识，必将有效促进林草生态保护修复工作的统一部署和实施。</w:t>
      </w:r>
    </w:p>
    <w:p w14:paraId="4136ADAD">
      <w:pPr>
        <w:pStyle w:val="4"/>
        <w:numPr>
          <w:ilvl w:val="2"/>
          <w:numId w:val="2"/>
        </w:numPr>
        <w:spacing w:before="120" w:after="120" w:line="360" w:lineRule="auto"/>
        <w:rPr>
          <w:rStyle w:val="28"/>
          <w:color w:val="auto"/>
          <w:sz w:val="28"/>
          <w:szCs w:val="28"/>
          <w:u w:val="none"/>
        </w:rPr>
      </w:pPr>
      <w:bookmarkStart w:id="56" w:name="_Toc20916"/>
      <w:r>
        <w:rPr>
          <w:rStyle w:val="28"/>
          <w:rFonts w:hint="eastAsia"/>
          <w:color w:val="auto"/>
          <w:sz w:val="28"/>
          <w:szCs w:val="28"/>
          <w:u w:val="none"/>
        </w:rPr>
        <w:t>碳达峰碳中和为草原保护修复提出了新要求</w:t>
      </w:r>
      <w:bookmarkEnd w:id="56"/>
    </w:p>
    <w:p w14:paraId="12C2FAF2">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2020年9月22日，中国国家主席习近平在第七十五届联合国大会一般性辩论上宣布：“中国将提高国家自主贡献力度，采取更加有力的政策和措施，二氧化碳排放力争于2030年前达到峰值，努力争取2060年前实现碳中和”。这一目标的提出，为我国可再生能源发展、自然资源保护修复提出了新要求。我国草原总碳储量约占我国陆地生态系统碳储量的30%，90%以上的碳储存在土壤中，将碳达峰碳中和纳入生态文明建设整体布局，为科学开展草原保护修复、提升生态系统碳汇增量、建设绿色低碳草产业体系、建立健全生态产品价值实现机制提供新契机。</w:t>
      </w:r>
    </w:p>
    <w:p w14:paraId="0D957E5A">
      <w:pPr>
        <w:pStyle w:val="4"/>
        <w:numPr>
          <w:ilvl w:val="2"/>
          <w:numId w:val="2"/>
        </w:numPr>
        <w:spacing w:before="120" w:after="120" w:line="360" w:lineRule="auto"/>
        <w:rPr>
          <w:rStyle w:val="28"/>
          <w:color w:val="auto"/>
          <w:sz w:val="28"/>
          <w:szCs w:val="28"/>
          <w:u w:val="none"/>
        </w:rPr>
      </w:pPr>
      <w:bookmarkStart w:id="57" w:name="_Toc28009"/>
      <w:r>
        <w:rPr>
          <w:rStyle w:val="28"/>
          <w:rFonts w:hint="eastAsia"/>
          <w:color w:val="auto"/>
          <w:sz w:val="28"/>
          <w:szCs w:val="28"/>
          <w:u w:val="none"/>
        </w:rPr>
        <w:t>全面推进乡村振兴为推动草原保护修复和草产业发展赋予了新任务</w:t>
      </w:r>
      <w:bookmarkEnd w:id="57"/>
    </w:p>
    <w:p w14:paraId="51092B47">
      <w:pPr>
        <w:spacing w:line="360" w:lineRule="auto"/>
        <w:ind w:firstLine="480" w:firstLineChars="200"/>
        <w:rPr>
          <w:rFonts w:ascii="Times New Roman" w:hAnsi="Times New Roman" w:cs="Times New Roman"/>
          <w:sz w:val="24"/>
          <w:szCs w:val="24"/>
          <w:shd w:val="clear" w:color="auto" w:fill="FFFFFF"/>
        </w:rPr>
      </w:pPr>
      <w:r>
        <w:rPr>
          <w:rFonts w:hint="eastAsia" w:ascii="Times New Roman" w:hAnsi="Times New Roman" w:cs="Times New Roman"/>
          <w:sz w:val="24"/>
          <w:szCs w:val="24"/>
          <w:shd w:val="clear" w:color="auto" w:fill="FFFFFF"/>
        </w:rPr>
        <w:t>习近平总书记多次强调，“要切实解决好民生问题，让各族群众共享改革发展成果”。草原是昌都市重要的生态系统和自然资源，也是农牧民最重要的生产资料和生活栖息地，在维护生态安全、民族团结和促进经济社会可持续发展、农牧民增收等方面具有基础性、战略性作用，是极为宝贵的财富。全面推进乡村振兴为巩固拓展牧区脱贫攻坚成果，要求在生态保护的前提下，科学开展集约化产业化草牧业，培育草原生态旅游与休闲康养新业态，促进草产业健康发展。</w:t>
      </w:r>
    </w:p>
    <w:p w14:paraId="00DA5C04">
      <w:r>
        <w:br w:type="page"/>
      </w:r>
    </w:p>
    <w:p w14:paraId="6A48A610">
      <w:pPr>
        <w:pStyle w:val="2"/>
        <w:numPr>
          <w:ilvl w:val="0"/>
          <w:numId w:val="2"/>
        </w:numPr>
        <w:spacing w:before="156" w:after="156" w:line="360" w:lineRule="auto"/>
        <w:rPr>
          <w:rFonts w:eastAsia="宋体"/>
          <w:bCs/>
          <w:snapToGrid/>
          <w:kern w:val="44"/>
          <w:szCs w:val="44"/>
        </w:rPr>
      </w:pPr>
      <w:bookmarkStart w:id="58" w:name="_Toc18756"/>
      <w:r>
        <w:rPr>
          <w:rFonts w:hint="eastAsia" w:eastAsia="宋体"/>
          <w:bCs/>
          <w:snapToGrid/>
          <w:kern w:val="44"/>
          <w:szCs w:val="44"/>
        </w:rPr>
        <w:t>规划总体思路</w:t>
      </w:r>
      <w:bookmarkEnd w:id="58"/>
    </w:p>
    <w:p w14:paraId="6FB9F7FD">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59" w:name="_Toc10993"/>
      <w:r>
        <w:rPr>
          <w:rStyle w:val="28"/>
          <w:rFonts w:hint="default" w:ascii="Times New Roman"/>
          <w:color w:val="auto"/>
          <w:kern w:val="2"/>
          <w:sz w:val="32"/>
          <w:szCs w:val="32"/>
          <w:u w:val="none"/>
        </w:rPr>
        <w:t>指导思想</w:t>
      </w:r>
      <w:bookmarkEnd w:id="59"/>
    </w:p>
    <w:p w14:paraId="0EBF24D3">
      <w:pPr>
        <w:spacing w:line="360" w:lineRule="auto"/>
        <w:ind w:firstLine="480" w:firstLineChars="200"/>
        <w:rPr>
          <w:rFonts w:ascii="Times New Roman" w:hAnsi="Times New Roman" w:eastAsia="宋体" w:cs="Times New Roman"/>
          <w:sz w:val="24"/>
          <w:szCs w:val="24"/>
        </w:rPr>
      </w:pPr>
      <w:r>
        <w:rPr>
          <w:rFonts w:hint="eastAsia" w:ascii="Times New Roman" w:hAnsi="Times New Roman" w:cs="Times New Roman"/>
          <w:sz w:val="24"/>
          <w:szCs w:val="24"/>
          <w:shd w:val="clear" w:color="auto" w:fill="FFFFFF"/>
        </w:rPr>
        <w:t>坚持以习近平新时代中国特色社会主义思想为指导，全面贯彻党的二十大、二十届四中全会精神，深入贯彻落实习近平生态文明思想，全面落实习近平总书记对青藏高原、西藏自治区的重要讲话和重要指示批示精神，牢固树立“绿水青山就是金山银山，冰天雪地也是金山银山”的理念，牢牢把握“草原兴，则生态兴”的观念，统筹山水林田湖草沙一体化保护和系统治理。紧扣西藏稳定、发展、生态、强边 “四件大事” 和 “四个创建”、“四个走在前列” 的部署要求，将草原保护修复与草业发展融入昌都市国土空间开发保护总体格局，兼顾生态保护与区域经济社会可持续发展的双重需求。坚持保护优先、自然恢复为主、人工修复为辅的原则，以完善草原保护修复制度、推进草原治理体系和治理能力现代化为主线，加强草原保护管理，推进草原生态修复，促进草原合理利用，改善草原生态状况，实现草原生态、生产和生活功能协调发展，推进人与自然和谐共生。立足青藏高原生态屏障区的重要定位，为筑牢藏东乃至三江源生态安全屏障，着力推动昌都市草业高质量发展和持续推进美丽昌都建设奠定重要基础。</w:t>
      </w:r>
    </w:p>
    <w:p w14:paraId="4B81B3FF">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0" w:name="_Toc24476"/>
      <w:r>
        <w:rPr>
          <w:rStyle w:val="28"/>
          <w:rFonts w:ascii="Times New Roman"/>
          <w:color w:val="auto"/>
          <w:kern w:val="2"/>
          <w:sz w:val="32"/>
          <w:szCs w:val="32"/>
          <w:u w:val="none"/>
        </w:rPr>
        <w:t>规划</w:t>
      </w:r>
      <w:r>
        <w:rPr>
          <w:rStyle w:val="28"/>
          <w:rFonts w:hint="default" w:ascii="Times New Roman"/>
          <w:color w:val="auto"/>
          <w:kern w:val="2"/>
          <w:sz w:val="32"/>
          <w:szCs w:val="32"/>
          <w:u w:val="none"/>
        </w:rPr>
        <w:t>原则</w:t>
      </w:r>
      <w:bookmarkEnd w:id="60"/>
    </w:p>
    <w:p w14:paraId="37F305F3">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（一）尊重自然，保护优先。</w:t>
      </w:r>
      <w:r>
        <w:rPr>
          <w:rFonts w:hint="eastAsia" w:ascii="Times New Roman" w:hAnsi="Times New Roman" w:cs="Times New Roman"/>
          <w:sz w:val="24"/>
          <w:szCs w:val="24"/>
          <w:shd w:val="clear" w:color="auto" w:fill="FFFFFF"/>
        </w:rPr>
        <w:t>充分尊重自然，顺应自然，保护生态系统的原真性，科学实施草原禁牧休牧轮牧和草畜平衡制度，促进草原休养生息，维护自然生态系统安全稳定。从演替发展的观点出发，尽量营造顶级和亚顶级草原群落，最终实现生态系统发展达到稳定的阶段。</w:t>
      </w:r>
    </w:p>
    <w:p w14:paraId="6F18906D">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（二）功能主导，区域协调。</w:t>
      </w:r>
      <w:r>
        <w:rPr>
          <w:rFonts w:hint="eastAsia" w:ascii="Times New Roman" w:hAnsi="Times New Roman" w:cs="Times New Roman"/>
          <w:sz w:val="24"/>
          <w:szCs w:val="24"/>
          <w:shd w:val="clear" w:color="auto" w:fill="FFFFFF"/>
        </w:rPr>
        <w:t>从满足当地经济社会发展和发挥生态系统的主导服务功能的角度出发，基于工作基础和发展实际，以区、带、点的形式，科学划定草原功能，明确不同功能的发展方向和发展目标，合理布局各大工程，确定建设措施，促进生态效益、经济效益和社会效益协同发展。</w:t>
      </w:r>
    </w:p>
    <w:p w14:paraId="50E5B1F3">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（三）因地制宜，系统治理。</w:t>
      </w:r>
      <w:r>
        <w:rPr>
          <w:rFonts w:hint="eastAsia" w:ascii="Times New Roman" w:hAnsi="Times New Roman" w:cs="Times New Roman"/>
          <w:sz w:val="24"/>
          <w:szCs w:val="24"/>
          <w:shd w:val="clear" w:color="auto" w:fill="FFFFFF"/>
        </w:rPr>
        <w:t>全面掌握草原发展现状和草地健康状况，立足打基础、建机制、管长远，强化林草湿荒一体化治理，系统布局林草生态综合治理重大工程项目，突出强化典型类型、重点区域治理。强化现状调查和分析，因地制宜，以自然恢复为主，人为干预为辅，建管并重，科学制定治理方案，确保修复成效。充分借鉴好的治理经验、做法，探索新技术、新方法的应用，加强与生态修复技术先进省（区）、高校、科研院所等单位的技术交流合作，强化技术支撑。紧抓成效监测，强化经验积累和模式总结。</w:t>
      </w:r>
    </w:p>
    <w:p w14:paraId="0A98D018">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（四）统筹规划，试点先行。</w:t>
      </w:r>
      <w:r>
        <w:rPr>
          <w:rFonts w:hint="eastAsia" w:ascii="Times New Roman" w:hAnsi="Times New Roman" w:cs="Times New Roman"/>
          <w:sz w:val="24"/>
          <w:szCs w:val="24"/>
          <w:shd w:val="clear" w:color="auto" w:fill="FFFFFF"/>
        </w:rPr>
        <w:t>以“改善生态环境，维护生物多样性，促进草原的可持续利用”为目标，以保护为主、分批修复、推进合理利用主线，从全局全域的角度长远谋划草原发展的科学路径。以科学评估为前提，全力提升草原工程的品质和建设水平，实现草原生态、生产和生活功能的协调发展。</w:t>
      </w:r>
    </w:p>
    <w:p w14:paraId="2071230D">
      <w:pPr>
        <w:spacing w:line="360" w:lineRule="auto"/>
        <w:ind w:firstLine="482" w:firstLineChars="200"/>
        <w:rPr>
          <w:rFonts w:ascii="Times New Roman" w:hAnsi="Times New Roman" w:cs="Times New Roman"/>
          <w:sz w:val="24"/>
          <w:szCs w:val="24"/>
          <w:shd w:val="clear" w:color="auto" w:fill="FFFFFF"/>
        </w:rPr>
      </w:pPr>
      <w:r>
        <w:rPr>
          <w:rFonts w:hint="eastAsia" w:ascii="Times New Roman" w:hAnsi="Times New Roman" w:cs="Times New Roman"/>
          <w:b/>
          <w:bCs/>
          <w:sz w:val="24"/>
          <w:szCs w:val="24"/>
          <w:shd w:val="clear" w:color="auto" w:fill="FFFFFF"/>
        </w:rPr>
        <w:t>（五）政府主导，社会参与。</w:t>
      </w:r>
      <w:r>
        <w:rPr>
          <w:rFonts w:hint="eastAsia" w:ascii="Times New Roman" w:hAnsi="Times New Roman" w:cs="Times New Roman"/>
          <w:sz w:val="24"/>
          <w:szCs w:val="24"/>
          <w:shd w:val="clear" w:color="auto" w:fill="FFFFFF"/>
        </w:rPr>
        <w:t>坚持政府引导、部门推动、全民参与，明确地方各级人民政府保护修复草原的主导地位，充分发挥市场在资源配置中的决定性作用，探索以国家投入为主、引导社会资金投入的多元化投融资机制，鼓励并引导企业、专业合作社或个人积极参与生态修复，形成社会各界共同参与草原生态保护建设的良好氛围。</w:t>
      </w:r>
    </w:p>
    <w:p w14:paraId="6BE22E80">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1" w:name="_Toc18486"/>
      <w:r>
        <w:rPr>
          <w:rStyle w:val="28"/>
          <w:rFonts w:hint="default" w:ascii="Times New Roman"/>
          <w:color w:val="auto"/>
          <w:kern w:val="2"/>
          <w:sz w:val="32"/>
          <w:szCs w:val="32"/>
          <w:u w:val="none"/>
        </w:rPr>
        <w:t>规划范围与期限</w:t>
      </w:r>
      <w:bookmarkEnd w:id="61"/>
    </w:p>
    <w:p w14:paraId="7EAA6F18">
      <w:pPr>
        <w:pStyle w:val="4"/>
        <w:numPr>
          <w:ilvl w:val="2"/>
          <w:numId w:val="2"/>
        </w:numPr>
        <w:spacing w:before="120" w:after="120" w:line="360" w:lineRule="auto"/>
        <w:rPr>
          <w:rStyle w:val="28"/>
          <w:color w:val="auto"/>
          <w:sz w:val="28"/>
          <w:szCs w:val="28"/>
          <w:u w:val="none"/>
        </w:rPr>
      </w:pPr>
      <w:bookmarkStart w:id="62" w:name="_Toc32644"/>
      <w:r>
        <w:rPr>
          <w:rStyle w:val="28"/>
          <w:color w:val="auto"/>
          <w:sz w:val="28"/>
          <w:szCs w:val="28"/>
          <w:u w:val="none"/>
        </w:rPr>
        <w:t>规划范围</w:t>
      </w:r>
      <w:bookmarkEnd w:id="62"/>
    </w:p>
    <w:p w14:paraId="57C2820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color w:val="1901FB"/>
          <w:sz w:val="24"/>
          <w:szCs w:val="24"/>
          <w:shd w:val="clear" w:color="auto" w:fill="FFFFFF"/>
        </w:rPr>
        <w:t>规划范围为</w:t>
      </w:r>
      <w:r>
        <w:rPr>
          <w:rFonts w:hint="default" w:ascii="Times New Roman" w:hAnsi="Times New Roman" w:cs="Times New Roman"/>
          <w:color w:val="1901FB"/>
          <w:sz w:val="24"/>
          <w:szCs w:val="24"/>
        </w:rPr>
        <w:t>昌都市2024年林草综合监测数据</w:t>
      </w:r>
      <w:r>
        <w:rPr>
          <w:rFonts w:hint="eastAsia" w:ascii="Times New Roman" w:hAnsi="Times New Roman" w:cs="Times New Roman"/>
          <w:color w:val="1901FB"/>
          <w:sz w:val="24"/>
          <w:szCs w:val="24"/>
          <w:lang w:eastAsia="zh-CN"/>
        </w:rPr>
        <w:t>中</w:t>
      </w:r>
      <w:r>
        <w:rPr>
          <w:rStyle w:val="27"/>
          <w:rFonts w:hint="eastAsia" w:ascii="Times New Roman" w:hAnsi="Times New Roman"/>
          <w:b w:val="0"/>
          <w:bCs/>
          <w:color w:val="1901FB"/>
          <w:sz w:val="24"/>
          <w:szCs w:val="24"/>
          <w:shd w:val="clear" w:color="auto" w:fill="FFFFFF"/>
        </w:rPr>
        <w:t>的全部草地</w:t>
      </w:r>
      <w:r>
        <w:rPr>
          <w:rStyle w:val="27"/>
          <w:rFonts w:hint="eastAsia" w:ascii="Times New Roman" w:hAnsi="Times New Roman"/>
          <w:b w:val="0"/>
          <w:bCs/>
          <w:sz w:val="24"/>
          <w:szCs w:val="24"/>
          <w:shd w:val="clear" w:color="auto" w:fill="FFFFFF"/>
        </w:rPr>
        <w:t>，总面积为5092449.10公顷。涉及江达县、贡觉县、类乌齐县、丁青县、察雅县、八宿县、左贡县、芒康县、洛隆县、边坝县和卡若区，即1个区10个县。</w:t>
      </w:r>
    </w:p>
    <w:p w14:paraId="423F70AF">
      <w:pPr>
        <w:pStyle w:val="4"/>
        <w:numPr>
          <w:ilvl w:val="2"/>
          <w:numId w:val="2"/>
        </w:numPr>
        <w:spacing w:before="120" w:after="120" w:line="360" w:lineRule="auto"/>
        <w:rPr>
          <w:rStyle w:val="28"/>
          <w:color w:val="auto"/>
          <w:sz w:val="28"/>
          <w:szCs w:val="28"/>
          <w:u w:val="none"/>
        </w:rPr>
      </w:pPr>
      <w:bookmarkStart w:id="63" w:name="_Toc14203"/>
      <w:r>
        <w:rPr>
          <w:rStyle w:val="28"/>
          <w:color w:val="auto"/>
          <w:sz w:val="28"/>
          <w:szCs w:val="28"/>
          <w:u w:val="none"/>
        </w:rPr>
        <w:t>规划期限</w:t>
      </w:r>
      <w:bookmarkEnd w:id="63"/>
    </w:p>
    <w:p w14:paraId="2A929ED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规划期限：2026—</w:t>
      </w:r>
      <w:r>
        <w:rPr>
          <w:rStyle w:val="27"/>
          <w:rFonts w:ascii="Times New Roman" w:hAnsi="Times New Roman"/>
          <w:b w:val="0"/>
          <w:bCs/>
          <w:sz w:val="24"/>
          <w:szCs w:val="24"/>
          <w:shd w:val="clear" w:color="auto" w:fill="FFFFFF"/>
        </w:rPr>
        <w:t>2035</w:t>
      </w:r>
      <w:r>
        <w:rPr>
          <w:rStyle w:val="27"/>
          <w:rFonts w:hint="eastAsia" w:ascii="Times New Roman" w:hAnsi="Times New Roman"/>
          <w:b w:val="0"/>
          <w:bCs/>
          <w:sz w:val="24"/>
          <w:szCs w:val="24"/>
          <w:shd w:val="clear" w:color="auto" w:fill="FFFFFF"/>
        </w:rPr>
        <w:t>年，共10年。其中：</w:t>
      </w:r>
    </w:p>
    <w:p w14:paraId="31C7EAE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近期为</w:t>
      </w:r>
      <w:r>
        <w:rPr>
          <w:rStyle w:val="27"/>
          <w:rFonts w:ascii="Times New Roman" w:hAnsi="Times New Roman"/>
          <w:b w:val="0"/>
          <w:bCs/>
          <w:sz w:val="24"/>
          <w:szCs w:val="24"/>
          <w:shd w:val="clear" w:color="auto" w:fill="FFFFFF"/>
        </w:rPr>
        <w:t>202</w:t>
      </w:r>
      <w:r>
        <w:rPr>
          <w:rStyle w:val="27"/>
          <w:rFonts w:hint="eastAsia" w:ascii="Times New Roman" w:hAnsi="Times New Roman"/>
          <w:b w:val="0"/>
          <w:bCs/>
          <w:sz w:val="24"/>
          <w:szCs w:val="24"/>
          <w:shd w:val="clear" w:color="auto" w:fill="FFFFFF"/>
        </w:rPr>
        <w:t>6—</w:t>
      </w:r>
      <w:r>
        <w:rPr>
          <w:rStyle w:val="27"/>
          <w:rFonts w:ascii="Times New Roman" w:hAnsi="Times New Roman"/>
          <w:b w:val="0"/>
          <w:bCs/>
          <w:sz w:val="24"/>
          <w:szCs w:val="24"/>
          <w:shd w:val="clear" w:color="auto" w:fill="FFFFFF"/>
        </w:rPr>
        <w:t>20</w:t>
      </w:r>
      <w:r>
        <w:rPr>
          <w:rStyle w:val="27"/>
          <w:rFonts w:hint="eastAsia" w:ascii="Times New Roman" w:hAnsi="Times New Roman"/>
          <w:b w:val="0"/>
          <w:bCs/>
          <w:sz w:val="24"/>
          <w:szCs w:val="24"/>
          <w:shd w:val="clear" w:color="auto" w:fill="FFFFFF"/>
        </w:rPr>
        <w:t>30年；</w:t>
      </w:r>
    </w:p>
    <w:p w14:paraId="4A717FB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远期为</w:t>
      </w:r>
      <w:r>
        <w:rPr>
          <w:rStyle w:val="27"/>
          <w:rFonts w:ascii="Times New Roman" w:hAnsi="Times New Roman"/>
          <w:b w:val="0"/>
          <w:bCs/>
          <w:sz w:val="24"/>
          <w:szCs w:val="24"/>
          <w:shd w:val="clear" w:color="auto" w:fill="FFFFFF"/>
        </w:rPr>
        <w:t>20</w:t>
      </w:r>
      <w:r>
        <w:rPr>
          <w:rStyle w:val="27"/>
          <w:rFonts w:hint="eastAsia" w:ascii="Times New Roman" w:hAnsi="Times New Roman"/>
          <w:b w:val="0"/>
          <w:bCs/>
          <w:sz w:val="24"/>
          <w:szCs w:val="24"/>
          <w:shd w:val="clear" w:color="auto" w:fill="FFFFFF"/>
        </w:rPr>
        <w:t>31—</w:t>
      </w:r>
      <w:r>
        <w:rPr>
          <w:rStyle w:val="27"/>
          <w:rFonts w:ascii="Times New Roman" w:hAnsi="Times New Roman"/>
          <w:b w:val="0"/>
          <w:bCs/>
          <w:sz w:val="24"/>
          <w:szCs w:val="24"/>
          <w:shd w:val="clear" w:color="auto" w:fill="FFFFFF"/>
        </w:rPr>
        <w:t>2035年。</w:t>
      </w:r>
    </w:p>
    <w:p w14:paraId="05EAC2BE">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4" w:name="_Toc8805"/>
      <w:r>
        <w:rPr>
          <w:rStyle w:val="28"/>
          <w:rFonts w:hint="default" w:ascii="Times New Roman"/>
          <w:color w:val="auto"/>
          <w:kern w:val="2"/>
          <w:sz w:val="32"/>
          <w:szCs w:val="32"/>
          <w:u w:val="none"/>
        </w:rPr>
        <w:t>规划依据</w:t>
      </w:r>
      <w:bookmarkEnd w:id="64"/>
    </w:p>
    <w:p w14:paraId="1FBB33A3">
      <w:pPr>
        <w:pStyle w:val="4"/>
        <w:numPr>
          <w:ilvl w:val="2"/>
          <w:numId w:val="2"/>
        </w:numPr>
        <w:spacing w:before="120" w:after="120" w:line="360" w:lineRule="auto"/>
        <w:rPr>
          <w:rStyle w:val="28"/>
          <w:color w:val="auto"/>
          <w:sz w:val="28"/>
          <w:szCs w:val="28"/>
          <w:u w:val="none"/>
        </w:rPr>
      </w:pPr>
      <w:bookmarkStart w:id="65" w:name="_Toc25576"/>
      <w:r>
        <w:rPr>
          <w:rStyle w:val="28"/>
          <w:rFonts w:hint="eastAsia"/>
          <w:color w:val="auto"/>
          <w:sz w:val="28"/>
          <w:szCs w:val="28"/>
          <w:u w:val="none"/>
        </w:rPr>
        <w:t>法律</w:t>
      </w:r>
      <w:r>
        <w:rPr>
          <w:rStyle w:val="28"/>
          <w:color w:val="auto"/>
          <w:sz w:val="28"/>
          <w:szCs w:val="28"/>
          <w:u w:val="none"/>
        </w:rPr>
        <w:t>法规</w:t>
      </w:r>
      <w:bookmarkEnd w:id="65"/>
    </w:p>
    <w:p w14:paraId="60698694">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w:t>
      </w:r>
      <w:r>
        <w:rPr>
          <w:rStyle w:val="27"/>
          <w:rFonts w:hint="eastAsia" w:ascii="Times New Roman"/>
          <w:b w:val="0"/>
          <w:bCs/>
          <w:sz w:val="24"/>
          <w:szCs w:val="24"/>
          <w:shd w:val="clear" w:color="auto" w:fill="FFFFFF"/>
        </w:rPr>
        <w:t>）《中华人民共和国草原法》（</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年修订）；</w:t>
      </w:r>
    </w:p>
    <w:p w14:paraId="549E10F8">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）《中华人民共和国青藏高原生态保护法》（</w:t>
      </w:r>
      <w:r>
        <w:rPr>
          <w:rStyle w:val="27"/>
          <w:rFonts w:ascii="Times New Roman"/>
          <w:b w:val="0"/>
          <w:bCs/>
          <w:sz w:val="24"/>
          <w:szCs w:val="24"/>
          <w:shd w:val="clear" w:color="auto" w:fill="FFFFFF"/>
        </w:rPr>
        <w:t>2023</w:t>
      </w:r>
      <w:r>
        <w:rPr>
          <w:rStyle w:val="27"/>
          <w:rFonts w:hint="eastAsia" w:ascii="Times New Roman"/>
          <w:b w:val="0"/>
          <w:bCs/>
          <w:sz w:val="24"/>
          <w:szCs w:val="24"/>
          <w:shd w:val="clear" w:color="auto" w:fill="FFFFFF"/>
        </w:rPr>
        <w:t>年）；</w:t>
      </w:r>
    </w:p>
    <w:p w14:paraId="34A8B7B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w:t>
      </w:r>
      <w:r>
        <w:rPr>
          <w:rStyle w:val="27"/>
          <w:rFonts w:hint="eastAsia" w:ascii="Times New Roman"/>
          <w:b w:val="0"/>
          <w:bCs/>
          <w:sz w:val="24"/>
          <w:szCs w:val="24"/>
          <w:shd w:val="clear" w:color="auto" w:fill="FFFFFF"/>
        </w:rPr>
        <w:t>）《中华人民共和国防沙治沙法》（</w:t>
      </w:r>
      <w:r>
        <w:rPr>
          <w:rStyle w:val="27"/>
          <w:rFonts w:ascii="Times New Roman"/>
          <w:b w:val="0"/>
          <w:bCs/>
          <w:sz w:val="24"/>
          <w:szCs w:val="24"/>
          <w:shd w:val="clear" w:color="auto" w:fill="FFFFFF"/>
        </w:rPr>
        <w:t>2018</w:t>
      </w:r>
      <w:r>
        <w:rPr>
          <w:rStyle w:val="27"/>
          <w:rFonts w:hint="eastAsia" w:ascii="Times New Roman"/>
          <w:b w:val="0"/>
          <w:bCs/>
          <w:sz w:val="24"/>
          <w:szCs w:val="24"/>
          <w:shd w:val="clear" w:color="auto" w:fill="FFFFFF"/>
        </w:rPr>
        <w:t>年修订）；</w:t>
      </w:r>
    </w:p>
    <w:p w14:paraId="0BCFEA2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4</w:t>
      </w:r>
      <w:r>
        <w:rPr>
          <w:rStyle w:val="27"/>
          <w:rFonts w:hint="eastAsia" w:ascii="Times New Roman"/>
          <w:b w:val="0"/>
          <w:bCs/>
          <w:sz w:val="24"/>
          <w:szCs w:val="24"/>
          <w:shd w:val="clear" w:color="auto" w:fill="FFFFFF"/>
        </w:rPr>
        <w:t>）《中华人民共和国土地管理法》（</w:t>
      </w:r>
      <w:r>
        <w:rPr>
          <w:rStyle w:val="27"/>
          <w:rFonts w:ascii="Times New Roman"/>
          <w:b w:val="0"/>
          <w:bCs/>
          <w:sz w:val="24"/>
          <w:szCs w:val="24"/>
          <w:shd w:val="clear" w:color="auto" w:fill="FFFFFF"/>
        </w:rPr>
        <w:t>2019</w:t>
      </w:r>
      <w:r>
        <w:rPr>
          <w:rStyle w:val="27"/>
          <w:rFonts w:hint="eastAsia" w:ascii="Times New Roman"/>
          <w:b w:val="0"/>
          <w:bCs/>
          <w:sz w:val="24"/>
          <w:szCs w:val="24"/>
          <w:shd w:val="clear" w:color="auto" w:fill="FFFFFF"/>
        </w:rPr>
        <w:t>年修订）；</w:t>
      </w:r>
    </w:p>
    <w:p w14:paraId="0DC42CFD">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5</w:t>
      </w:r>
      <w:r>
        <w:rPr>
          <w:rStyle w:val="27"/>
          <w:rFonts w:hint="eastAsia" w:ascii="Times New Roman"/>
          <w:b w:val="0"/>
          <w:bCs/>
          <w:sz w:val="24"/>
          <w:szCs w:val="24"/>
          <w:shd w:val="clear" w:color="auto" w:fill="FFFFFF"/>
        </w:rPr>
        <w:t>）《中华人民共和国环境保护法》（</w:t>
      </w:r>
      <w:r>
        <w:rPr>
          <w:rStyle w:val="27"/>
          <w:rFonts w:ascii="Times New Roman"/>
          <w:b w:val="0"/>
          <w:bCs/>
          <w:sz w:val="24"/>
          <w:szCs w:val="24"/>
          <w:shd w:val="clear" w:color="auto" w:fill="FFFFFF"/>
        </w:rPr>
        <w:t>2015</w:t>
      </w:r>
      <w:r>
        <w:rPr>
          <w:rStyle w:val="27"/>
          <w:rFonts w:hint="eastAsia" w:ascii="Times New Roman"/>
          <w:b w:val="0"/>
          <w:bCs/>
          <w:sz w:val="24"/>
          <w:szCs w:val="24"/>
          <w:shd w:val="clear" w:color="auto" w:fill="FFFFFF"/>
        </w:rPr>
        <w:t>年）；</w:t>
      </w:r>
    </w:p>
    <w:p w14:paraId="2D14DA5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6</w:t>
      </w:r>
      <w:r>
        <w:rPr>
          <w:rStyle w:val="27"/>
          <w:rFonts w:hint="eastAsia" w:ascii="Times New Roman"/>
          <w:b w:val="0"/>
          <w:bCs/>
          <w:sz w:val="24"/>
          <w:szCs w:val="24"/>
          <w:shd w:val="clear" w:color="auto" w:fill="FFFFFF"/>
        </w:rPr>
        <w:t>）《中华人民共和国环境影响评价法》（</w:t>
      </w:r>
      <w:r>
        <w:rPr>
          <w:rStyle w:val="27"/>
          <w:rFonts w:ascii="Times New Roman"/>
          <w:b w:val="0"/>
          <w:bCs/>
          <w:sz w:val="24"/>
          <w:szCs w:val="24"/>
          <w:shd w:val="clear" w:color="auto" w:fill="FFFFFF"/>
        </w:rPr>
        <w:t>2018</w:t>
      </w:r>
      <w:r>
        <w:rPr>
          <w:rStyle w:val="27"/>
          <w:rFonts w:hint="eastAsia" w:ascii="Times New Roman"/>
          <w:b w:val="0"/>
          <w:bCs/>
          <w:sz w:val="24"/>
          <w:szCs w:val="24"/>
          <w:shd w:val="clear" w:color="auto" w:fill="FFFFFF"/>
        </w:rPr>
        <w:t>年修订）；</w:t>
      </w:r>
    </w:p>
    <w:p w14:paraId="27BCD9BC">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w:t>
      </w:r>
      <w:r>
        <w:rPr>
          <w:rStyle w:val="27"/>
          <w:rFonts w:hint="eastAsia" w:ascii="Times New Roman"/>
          <w:b w:val="0"/>
          <w:bCs/>
          <w:sz w:val="24"/>
          <w:szCs w:val="24"/>
          <w:shd w:val="clear" w:color="auto" w:fill="FFFFFF"/>
        </w:rPr>
        <w:t>）《中华人民共和国环境保护法》（</w:t>
      </w:r>
      <w:r>
        <w:rPr>
          <w:rStyle w:val="27"/>
          <w:rFonts w:ascii="Times New Roman"/>
          <w:b w:val="0"/>
          <w:bCs/>
          <w:sz w:val="24"/>
          <w:szCs w:val="24"/>
          <w:shd w:val="clear" w:color="auto" w:fill="FFFFFF"/>
        </w:rPr>
        <w:t>2014</w:t>
      </w:r>
      <w:r>
        <w:rPr>
          <w:rStyle w:val="27"/>
          <w:rFonts w:hint="eastAsia" w:ascii="Times New Roman"/>
          <w:b w:val="0"/>
          <w:bCs/>
          <w:sz w:val="24"/>
          <w:szCs w:val="24"/>
          <w:shd w:val="clear" w:color="auto" w:fill="FFFFFF"/>
        </w:rPr>
        <w:t>年修订）；</w:t>
      </w:r>
    </w:p>
    <w:p w14:paraId="1E94D399">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8</w:t>
      </w:r>
      <w:r>
        <w:rPr>
          <w:rStyle w:val="27"/>
          <w:rFonts w:hint="eastAsia" w:ascii="Times New Roman"/>
          <w:b w:val="0"/>
          <w:bCs/>
          <w:sz w:val="24"/>
          <w:szCs w:val="24"/>
          <w:shd w:val="clear" w:color="auto" w:fill="FFFFFF"/>
        </w:rPr>
        <w:t>）《中华人民共和国种子法》（</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年修订）；</w:t>
      </w:r>
    </w:p>
    <w:p w14:paraId="4951F07B">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9</w:t>
      </w:r>
      <w:r>
        <w:rPr>
          <w:rStyle w:val="27"/>
          <w:rFonts w:hint="eastAsia" w:ascii="Times New Roman"/>
          <w:b w:val="0"/>
          <w:bCs/>
          <w:sz w:val="24"/>
          <w:szCs w:val="24"/>
          <w:shd w:val="clear" w:color="auto" w:fill="FFFFFF"/>
        </w:rPr>
        <w:t>）《中华人民共和国自然保护区条例》（</w:t>
      </w:r>
      <w:r>
        <w:rPr>
          <w:rStyle w:val="27"/>
          <w:rFonts w:ascii="Times New Roman"/>
          <w:b w:val="0"/>
          <w:bCs/>
          <w:sz w:val="24"/>
          <w:szCs w:val="24"/>
          <w:shd w:val="clear" w:color="auto" w:fill="FFFFFF"/>
        </w:rPr>
        <w:t>2017</w:t>
      </w:r>
      <w:r>
        <w:rPr>
          <w:rStyle w:val="27"/>
          <w:rFonts w:hint="eastAsia" w:ascii="Times New Roman"/>
          <w:b w:val="0"/>
          <w:bCs/>
          <w:sz w:val="24"/>
          <w:szCs w:val="24"/>
          <w:shd w:val="clear" w:color="auto" w:fill="FFFFFF"/>
        </w:rPr>
        <w:t>年修订）；</w:t>
      </w:r>
    </w:p>
    <w:p w14:paraId="50D8D466">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10</w:t>
      </w:r>
      <w:r>
        <w:rPr>
          <w:rStyle w:val="27"/>
          <w:rFonts w:hint="eastAsia" w:ascii="Times New Roman"/>
          <w:b w:val="0"/>
          <w:bCs/>
          <w:sz w:val="24"/>
          <w:szCs w:val="24"/>
          <w:shd w:val="clear" w:color="auto" w:fill="FFFFFF"/>
        </w:rPr>
        <w:t>）《中华人民共和国湿地保护法》（</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年）；</w:t>
      </w:r>
    </w:p>
    <w:p w14:paraId="5521A5B8">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11</w:t>
      </w:r>
      <w:r>
        <w:rPr>
          <w:rStyle w:val="27"/>
          <w:rFonts w:hint="eastAsia" w:ascii="Times New Roman"/>
          <w:b w:val="0"/>
          <w:bCs/>
          <w:sz w:val="24"/>
          <w:szCs w:val="24"/>
          <w:shd w:val="clear" w:color="auto" w:fill="FFFFFF"/>
        </w:rPr>
        <w:t>）《森林草原防灭火条例》（2026年）；</w:t>
      </w:r>
    </w:p>
    <w:p w14:paraId="07833F69">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12</w:t>
      </w:r>
      <w:r>
        <w:rPr>
          <w:rStyle w:val="27"/>
          <w:rFonts w:hint="eastAsia" w:ascii="Times New Roman"/>
          <w:b w:val="0"/>
          <w:bCs/>
          <w:sz w:val="24"/>
          <w:szCs w:val="24"/>
          <w:shd w:val="clear" w:color="auto" w:fill="FFFFFF"/>
        </w:rPr>
        <w:t>）《西藏自治区实施〈中华人民共和国草原法〉办法》（</w:t>
      </w:r>
      <w:r>
        <w:rPr>
          <w:rStyle w:val="27"/>
          <w:rFonts w:ascii="Times New Roman"/>
          <w:b w:val="0"/>
          <w:bCs/>
          <w:sz w:val="24"/>
          <w:szCs w:val="24"/>
          <w:shd w:val="clear" w:color="auto" w:fill="FFFFFF"/>
        </w:rPr>
        <w:t>2015</w:t>
      </w:r>
      <w:r>
        <w:rPr>
          <w:rStyle w:val="27"/>
          <w:rFonts w:hint="eastAsia" w:ascii="Times New Roman"/>
          <w:b w:val="0"/>
          <w:bCs/>
          <w:sz w:val="24"/>
          <w:szCs w:val="24"/>
          <w:shd w:val="clear" w:color="auto" w:fill="FFFFFF"/>
        </w:rPr>
        <w:t>年修正）；</w:t>
      </w:r>
    </w:p>
    <w:p w14:paraId="3EA7164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13</w:t>
      </w:r>
      <w:r>
        <w:rPr>
          <w:rStyle w:val="27"/>
          <w:rFonts w:hint="eastAsia" w:ascii="Times New Roman"/>
          <w:b w:val="0"/>
          <w:bCs/>
          <w:sz w:val="24"/>
          <w:szCs w:val="24"/>
          <w:shd w:val="clear" w:color="auto" w:fill="FFFFFF"/>
        </w:rPr>
        <w:t>）《西藏自治区国家生态文明高地建设条例（</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年）》。</w:t>
      </w:r>
    </w:p>
    <w:p w14:paraId="639DCBC9">
      <w:pPr>
        <w:pStyle w:val="4"/>
        <w:numPr>
          <w:ilvl w:val="2"/>
          <w:numId w:val="2"/>
        </w:numPr>
        <w:spacing w:before="120" w:after="120" w:line="360" w:lineRule="auto"/>
        <w:rPr>
          <w:rStyle w:val="28"/>
          <w:color w:val="auto"/>
          <w:sz w:val="28"/>
          <w:szCs w:val="28"/>
          <w:u w:val="none"/>
        </w:rPr>
      </w:pPr>
      <w:bookmarkStart w:id="66" w:name="_Toc10374"/>
      <w:r>
        <w:rPr>
          <w:rStyle w:val="28"/>
          <w:rFonts w:hint="eastAsia"/>
          <w:color w:val="auto"/>
          <w:sz w:val="28"/>
          <w:szCs w:val="28"/>
          <w:u w:val="none"/>
        </w:rPr>
        <w:t>政策</w:t>
      </w:r>
      <w:r>
        <w:rPr>
          <w:rStyle w:val="28"/>
          <w:color w:val="auto"/>
          <w:sz w:val="28"/>
          <w:szCs w:val="28"/>
          <w:u w:val="none"/>
        </w:rPr>
        <w:t>文件及相关规划</w:t>
      </w:r>
      <w:bookmarkEnd w:id="66"/>
    </w:p>
    <w:p w14:paraId="52C736A2">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w:t>
      </w:r>
      <w:r>
        <w:rPr>
          <w:rStyle w:val="27"/>
          <w:rFonts w:hint="eastAsia" w:ascii="Times New Roman"/>
          <w:b w:val="0"/>
          <w:bCs/>
          <w:sz w:val="24"/>
          <w:szCs w:val="24"/>
          <w:shd w:val="clear" w:color="auto" w:fill="FFFFFF"/>
        </w:rPr>
        <w:t>）《关于加强草原保护修复的若干意见》（国办发〔</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w:t>
      </w:r>
      <w:r>
        <w:rPr>
          <w:rStyle w:val="27"/>
          <w:rFonts w:hint="eastAsia" w:ascii="Times New Roman"/>
          <w:b w:val="0"/>
          <w:bCs/>
          <w:sz w:val="24"/>
          <w:szCs w:val="24"/>
          <w:shd w:val="clear" w:color="auto" w:fill="FFFFFF"/>
        </w:rPr>
        <w:t>号）；</w:t>
      </w:r>
    </w:p>
    <w:p w14:paraId="359D4243">
      <w:pPr>
        <w:spacing w:line="360" w:lineRule="auto"/>
        <w:ind w:firstLine="480" w:firstLineChars="200"/>
        <w:jc w:val="left"/>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）《中共中央国务院关于做好</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年全面推进乡村振兴重点工作的意见》（</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年）；</w:t>
      </w:r>
    </w:p>
    <w:p w14:paraId="5C9183DA">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w:t>
      </w:r>
      <w:r>
        <w:rPr>
          <w:rStyle w:val="27"/>
          <w:rFonts w:hint="eastAsia" w:ascii="Times New Roman"/>
          <w:b w:val="0"/>
          <w:bCs/>
          <w:sz w:val="24"/>
          <w:szCs w:val="24"/>
          <w:shd w:val="clear" w:color="auto" w:fill="FFFFFF"/>
        </w:rPr>
        <w:t>）《中共中央办公厅国务院办公厅关于建立健全生态产品价值实现机制的意见》</w:t>
      </w:r>
    </w:p>
    <w:p w14:paraId="1F8E5430">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4</w:t>
      </w:r>
      <w:r>
        <w:rPr>
          <w:rStyle w:val="27"/>
          <w:rFonts w:hint="eastAsia" w:ascii="Times New Roman"/>
          <w:b w:val="0"/>
          <w:bCs/>
          <w:sz w:val="24"/>
          <w:szCs w:val="24"/>
          <w:shd w:val="clear" w:color="auto" w:fill="FFFFFF"/>
        </w:rPr>
        <w:t>）《全国重要生态系统保护和修复重大工程总体规划（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r>
        <w:rPr>
          <w:rStyle w:val="27"/>
          <w:rFonts w:ascii="Times New Roman"/>
          <w:b w:val="0"/>
          <w:bCs/>
          <w:sz w:val="24"/>
          <w:szCs w:val="24"/>
          <w:shd w:val="clear" w:color="auto" w:fill="FFFFFF"/>
        </w:rPr>
        <w:t>2020</w:t>
      </w:r>
      <w:r>
        <w:rPr>
          <w:rStyle w:val="27"/>
          <w:rFonts w:hint="eastAsia" w:ascii="Times New Roman"/>
          <w:b w:val="0"/>
          <w:bCs/>
          <w:sz w:val="24"/>
          <w:szCs w:val="24"/>
          <w:shd w:val="clear" w:color="auto" w:fill="FFFFFF"/>
        </w:rPr>
        <w:t>年）；</w:t>
      </w:r>
    </w:p>
    <w:p w14:paraId="73450616">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5</w:t>
      </w:r>
      <w:r>
        <w:rPr>
          <w:rStyle w:val="27"/>
          <w:rFonts w:hint="eastAsia" w:ascii="Times New Roman"/>
          <w:b w:val="0"/>
          <w:bCs/>
          <w:sz w:val="24"/>
          <w:szCs w:val="24"/>
          <w:shd w:val="clear" w:color="auto" w:fill="FFFFFF"/>
        </w:rPr>
        <w:t>）《财政部国家林业和草原局关于修订〈林业草原生态保护恢复资金管理办法〉的通知》（财资环〔</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76</w:t>
      </w:r>
      <w:r>
        <w:rPr>
          <w:rStyle w:val="27"/>
          <w:rFonts w:hint="eastAsia" w:ascii="Times New Roman"/>
          <w:b w:val="0"/>
          <w:bCs/>
          <w:sz w:val="24"/>
          <w:szCs w:val="24"/>
          <w:shd w:val="clear" w:color="auto" w:fill="FFFFFF"/>
        </w:rPr>
        <w:t>号）；</w:t>
      </w:r>
    </w:p>
    <w:p w14:paraId="152782C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6</w:t>
      </w:r>
      <w:r>
        <w:rPr>
          <w:rStyle w:val="27"/>
          <w:rFonts w:hint="eastAsia" w:ascii="Times New Roman"/>
          <w:b w:val="0"/>
          <w:bCs/>
          <w:sz w:val="24"/>
          <w:szCs w:val="24"/>
          <w:shd w:val="clear" w:color="auto" w:fill="FFFFFF"/>
        </w:rPr>
        <w:t>）《西藏自治区人民政府办公厅关于加强草原保护修复的实施意见》（藏政办发〔</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33</w:t>
      </w:r>
      <w:r>
        <w:rPr>
          <w:rStyle w:val="27"/>
          <w:rFonts w:hint="eastAsia" w:ascii="Times New Roman"/>
          <w:b w:val="0"/>
          <w:bCs/>
          <w:sz w:val="24"/>
          <w:szCs w:val="24"/>
          <w:shd w:val="clear" w:color="auto" w:fill="FFFFFF"/>
        </w:rPr>
        <w:t>号）；</w:t>
      </w:r>
    </w:p>
    <w:p w14:paraId="78B7DFC1">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w:t>
      </w:r>
      <w:r>
        <w:rPr>
          <w:rStyle w:val="27"/>
          <w:rFonts w:hint="eastAsia" w:ascii="Times New Roman"/>
          <w:b w:val="0"/>
          <w:bCs/>
          <w:sz w:val="24"/>
          <w:szCs w:val="24"/>
          <w:shd w:val="clear" w:color="auto" w:fill="FFFFFF"/>
        </w:rPr>
        <w:t>）《西藏自治区国家草原保护发展综合改革试验区建设实施方案》（藏政办函〔</w:t>
      </w:r>
      <w:r>
        <w:rPr>
          <w:rStyle w:val="27"/>
          <w:rFonts w:ascii="Times New Roman"/>
          <w:b w:val="0"/>
          <w:bCs/>
          <w:sz w:val="24"/>
          <w:szCs w:val="24"/>
          <w:shd w:val="clear" w:color="auto" w:fill="FFFFFF"/>
        </w:rPr>
        <w:t>2023</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39</w:t>
      </w:r>
      <w:r>
        <w:rPr>
          <w:rStyle w:val="27"/>
          <w:rFonts w:hint="eastAsia" w:ascii="Times New Roman"/>
          <w:b w:val="0"/>
          <w:bCs/>
          <w:sz w:val="24"/>
          <w:szCs w:val="24"/>
          <w:shd w:val="clear" w:color="auto" w:fill="FFFFFF"/>
        </w:rPr>
        <w:t>号）；</w:t>
      </w:r>
    </w:p>
    <w:p w14:paraId="606EBA60">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8</w:t>
      </w:r>
      <w:r>
        <w:rPr>
          <w:rStyle w:val="27"/>
          <w:rFonts w:hint="eastAsia" w:ascii="Times New Roman"/>
          <w:b w:val="0"/>
          <w:bCs/>
          <w:sz w:val="24"/>
          <w:szCs w:val="24"/>
          <w:shd w:val="clear" w:color="auto" w:fill="FFFFFF"/>
        </w:rPr>
        <w:t>）《全国防沙治沙规划（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2030</w:t>
      </w:r>
      <w:r>
        <w:rPr>
          <w:rStyle w:val="27"/>
          <w:rFonts w:hint="eastAsia" w:ascii="Times New Roman"/>
          <w:b w:val="0"/>
          <w:bCs/>
          <w:sz w:val="24"/>
          <w:szCs w:val="24"/>
          <w:shd w:val="clear" w:color="auto" w:fill="FFFFFF"/>
        </w:rPr>
        <w:t>年）》；</w:t>
      </w:r>
    </w:p>
    <w:p w14:paraId="65ED1961">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9</w:t>
      </w:r>
      <w:r>
        <w:rPr>
          <w:rStyle w:val="27"/>
          <w:rFonts w:hint="eastAsia" w:ascii="Times New Roman"/>
          <w:b w:val="0"/>
          <w:bCs/>
          <w:sz w:val="24"/>
          <w:szCs w:val="24"/>
          <w:shd w:val="clear" w:color="auto" w:fill="FFFFFF"/>
        </w:rPr>
        <w:t>）《青藏高原生态屏障区生态保护和修复重大工程建设规划（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p>
    <w:p w14:paraId="361B0870">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10</w:t>
      </w:r>
      <w:r>
        <w:rPr>
          <w:rStyle w:val="27"/>
          <w:rFonts w:hint="eastAsia" w:ascii="Times New Roman"/>
          <w:b w:val="0"/>
          <w:bCs/>
          <w:sz w:val="24"/>
          <w:szCs w:val="24"/>
          <w:shd w:val="clear" w:color="auto" w:fill="FFFFFF"/>
        </w:rPr>
        <w:t>）《西藏生态文明高地建设规划纲要（</w:t>
      </w:r>
      <w:r>
        <w:rPr>
          <w:rStyle w:val="27"/>
          <w:rFonts w:ascii="Times New Roman"/>
          <w:b w:val="0"/>
          <w:bCs/>
          <w:sz w:val="24"/>
          <w:szCs w:val="24"/>
          <w:shd w:val="clear" w:color="auto" w:fill="FFFFFF"/>
        </w:rPr>
        <w:t>2020-2035</w:t>
      </w:r>
      <w:r>
        <w:rPr>
          <w:rStyle w:val="27"/>
          <w:rFonts w:hint="eastAsia" w:ascii="Times New Roman"/>
          <w:b w:val="0"/>
          <w:bCs/>
          <w:sz w:val="24"/>
          <w:szCs w:val="24"/>
          <w:shd w:val="clear" w:color="auto" w:fill="FFFFFF"/>
        </w:rPr>
        <w:t>年）》；</w:t>
      </w:r>
    </w:p>
    <w:p w14:paraId="171C4B68">
      <w:pPr>
        <w:spacing w:line="360" w:lineRule="auto"/>
        <w:ind w:firstLine="480" w:firstLineChars="200"/>
        <w:jc w:val="left"/>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11</w:t>
      </w:r>
      <w:r>
        <w:rPr>
          <w:rStyle w:val="27"/>
          <w:rFonts w:hint="eastAsia" w:ascii="Times New Roman"/>
          <w:b w:val="0"/>
          <w:bCs/>
          <w:sz w:val="24"/>
          <w:szCs w:val="24"/>
          <w:shd w:val="clear" w:color="auto" w:fill="FFFFFF"/>
        </w:rPr>
        <w:t>）《西藏自治区“十四五”林业草原发展规划》；</w:t>
      </w:r>
    </w:p>
    <w:p w14:paraId="0E47C2BA">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12</w:t>
      </w:r>
      <w:r>
        <w:rPr>
          <w:rStyle w:val="27"/>
          <w:rFonts w:hint="eastAsia" w:ascii="Times New Roman"/>
          <w:b w:val="0"/>
          <w:bCs/>
          <w:sz w:val="24"/>
          <w:szCs w:val="24"/>
          <w:shd w:val="clear" w:color="auto" w:fill="FFFFFF"/>
        </w:rPr>
        <w:t>）《西藏自治区草原生态保护修复和草业发展规划（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p>
    <w:p w14:paraId="65A27347">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13</w:t>
      </w:r>
      <w:r>
        <w:rPr>
          <w:rStyle w:val="27"/>
          <w:rFonts w:hint="eastAsia" w:ascii="Times New Roman"/>
          <w:b w:val="0"/>
          <w:bCs/>
          <w:sz w:val="24"/>
          <w:szCs w:val="24"/>
          <w:shd w:val="clear" w:color="auto" w:fill="FFFFFF"/>
        </w:rPr>
        <w:t>）《西藏自治区防沙治沙规划（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2030</w:t>
      </w:r>
      <w:r>
        <w:rPr>
          <w:rStyle w:val="27"/>
          <w:rFonts w:hint="eastAsia" w:ascii="Times New Roman"/>
          <w:b w:val="0"/>
          <w:bCs/>
          <w:sz w:val="24"/>
          <w:szCs w:val="24"/>
          <w:shd w:val="clear" w:color="auto" w:fill="FFFFFF"/>
        </w:rPr>
        <w:t>年）》；</w:t>
      </w:r>
    </w:p>
    <w:p w14:paraId="1216B8C9">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14</w:t>
      </w:r>
      <w:r>
        <w:rPr>
          <w:rStyle w:val="27"/>
          <w:rFonts w:hint="eastAsia" w:ascii="Times New Roman"/>
          <w:b w:val="0"/>
          <w:bCs/>
          <w:sz w:val="24"/>
          <w:szCs w:val="24"/>
          <w:shd w:val="clear" w:color="auto" w:fill="FFFFFF"/>
        </w:rPr>
        <w:t>）《草原征占用审核审批管理规范》（林草规〔</w:t>
      </w:r>
      <w:r>
        <w:rPr>
          <w:rStyle w:val="27"/>
          <w:rFonts w:ascii="Times New Roman"/>
          <w:b w:val="0"/>
          <w:bCs/>
          <w:sz w:val="24"/>
          <w:szCs w:val="24"/>
          <w:shd w:val="clear" w:color="auto" w:fill="FFFFFF"/>
        </w:rPr>
        <w:t>2020</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号）；</w:t>
      </w:r>
    </w:p>
    <w:p w14:paraId="558EBEC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15</w:t>
      </w:r>
      <w:r>
        <w:rPr>
          <w:rStyle w:val="27"/>
          <w:rFonts w:hint="eastAsia" w:ascii="Times New Roman"/>
          <w:b w:val="0"/>
          <w:bCs/>
          <w:sz w:val="24"/>
          <w:szCs w:val="24"/>
          <w:shd w:val="clear" w:color="auto" w:fill="FFFFFF"/>
        </w:rPr>
        <w:t>）《西藏自治区草原征占用审核审批管理规范（暂行）》（藏林发〔</w:t>
      </w:r>
      <w:r>
        <w:rPr>
          <w:rStyle w:val="27"/>
          <w:rFonts w:ascii="Times New Roman"/>
          <w:b w:val="0"/>
          <w:bCs/>
          <w:sz w:val="24"/>
          <w:szCs w:val="24"/>
          <w:shd w:val="clear" w:color="auto" w:fill="FFFFFF"/>
        </w:rPr>
        <w:t>2022</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w:t>
      </w:r>
      <w:r>
        <w:rPr>
          <w:rStyle w:val="27"/>
          <w:rFonts w:hint="eastAsia" w:ascii="Times New Roman"/>
          <w:b w:val="0"/>
          <w:bCs/>
          <w:sz w:val="24"/>
          <w:szCs w:val="24"/>
          <w:shd w:val="clear" w:color="auto" w:fill="FFFFFF"/>
        </w:rPr>
        <w:t>号）；</w:t>
      </w:r>
    </w:p>
    <w:p w14:paraId="531B14AD">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16</w:t>
      </w:r>
      <w:r>
        <w:rPr>
          <w:rStyle w:val="27"/>
          <w:rFonts w:hint="eastAsia" w:ascii="Times New Roman"/>
          <w:b w:val="0"/>
          <w:bCs/>
          <w:sz w:val="24"/>
          <w:szCs w:val="24"/>
          <w:shd w:val="clear" w:color="auto" w:fill="FFFFFF"/>
        </w:rPr>
        <w:t>）《西藏自治区草原承包经营权确权登记颁证工作实施方案》（藏政办函〔</w:t>
      </w:r>
      <w:r>
        <w:rPr>
          <w:rStyle w:val="27"/>
          <w:rFonts w:ascii="Times New Roman"/>
          <w:b w:val="0"/>
          <w:bCs/>
          <w:sz w:val="24"/>
          <w:szCs w:val="24"/>
          <w:shd w:val="clear" w:color="auto" w:fill="FFFFFF"/>
        </w:rPr>
        <w:t>2021</w:t>
      </w: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76</w:t>
      </w:r>
      <w:r>
        <w:rPr>
          <w:rStyle w:val="27"/>
          <w:rFonts w:hint="eastAsia" w:ascii="Times New Roman"/>
          <w:b w:val="0"/>
          <w:bCs/>
          <w:sz w:val="24"/>
          <w:szCs w:val="24"/>
          <w:shd w:val="clear" w:color="auto" w:fill="FFFFFF"/>
        </w:rPr>
        <w:t>号）；</w:t>
      </w:r>
    </w:p>
    <w:p w14:paraId="5AD82D69">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17</w:t>
      </w:r>
      <w:r>
        <w:rPr>
          <w:rStyle w:val="27"/>
          <w:rFonts w:hint="eastAsia" w:ascii="Times New Roman"/>
          <w:b w:val="0"/>
          <w:bCs/>
          <w:sz w:val="24"/>
          <w:szCs w:val="24"/>
          <w:shd w:val="clear" w:color="auto" w:fill="FFFFFF"/>
        </w:rPr>
        <w:t>）《西藏自治区林长工作制度（试行）》；</w:t>
      </w:r>
    </w:p>
    <w:p w14:paraId="020BDD98">
      <w:pPr>
        <w:spacing w:line="360" w:lineRule="auto"/>
        <w:ind w:firstLine="480" w:firstLineChars="200"/>
        <w:jc w:val="left"/>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18</w:t>
      </w:r>
      <w:r>
        <w:rPr>
          <w:rStyle w:val="27"/>
          <w:rFonts w:hint="eastAsia" w:ascii="Times New Roman"/>
          <w:b w:val="0"/>
          <w:bCs/>
          <w:sz w:val="24"/>
          <w:szCs w:val="24"/>
          <w:shd w:val="clear" w:color="auto" w:fill="FFFFFF"/>
        </w:rPr>
        <w:t>）《西藏自治区林长制工作督察制度》；</w:t>
      </w:r>
    </w:p>
    <w:p w14:paraId="6F3A42FF">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19</w:t>
      </w:r>
      <w:r>
        <w:rPr>
          <w:rStyle w:val="27"/>
          <w:rFonts w:hint="eastAsia" w:ascii="Times New Roman"/>
          <w:b w:val="0"/>
          <w:bCs/>
          <w:sz w:val="24"/>
          <w:szCs w:val="24"/>
          <w:shd w:val="clear" w:color="auto" w:fill="FFFFFF"/>
        </w:rPr>
        <w:t>）《昌都市“十四五”林业草原发展规划》；</w:t>
      </w:r>
    </w:p>
    <w:p w14:paraId="334BAE92">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20</w:t>
      </w:r>
      <w:r>
        <w:rPr>
          <w:rStyle w:val="27"/>
          <w:rFonts w:hint="eastAsia" w:ascii="Times New Roman"/>
          <w:b w:val="0"/>
          <w:bCs/>
          <w:sz w:val="24"/>
          <w:szCs w:val="24"/>
          <w:shd w:val="clear" w:color="auto" w:fill="FFFFFF"/>
        </w:rPr>
        <w:t>）《昌都市国土空间总体规划（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w:t>
      </w:r>
    </w:p>
    <w:p w14:paraId="362DE212">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ascii="Times New Roman"/>
          <w:b w:val="0"/>
          <w:bCs/>
          <w:sz w:val="24"/>
          <w:szCs w:val="24"/>
          <w:shd w:val="clear" w:color="auto" w:fill="FFFFFF"/>
        </w:rPr>
        <w:t>21</w:t>
      </w:r>
      <w:r>
        <w:rPr>
          <w:rStyle w:val="27"/>
          <w:rFonts w:hint="eastAsia" w:ascii="Times New Roman"/>
          <w:b w:val="0"/>
          <w:bCs/>
          <w:sz w:val="24"/>
          <w:szCs w:val="24"/>
          <w:shd w:val="clear" w:color="auto" w:fill="FFFFFF"/>
        </w:rPr>
        <w:t>）《昌都市国民经济和社会发展第十四个五年规划和二〇三五年远景目标纲要》；</w:t>
      </w:r>
    </w:p>
    <w:p w14:paraId="6CFA740C">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（22）关于印发《昌都市林长制办公室工作制度》《昌都市林长制会议制度》《昌都市林长制信息公开制度》《昌都市林长制工作督查制度》《昌都市林长制部门协作制度》的通知，昌林长办发〔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2〕2号；</w:t>
      </w:r>
    </w:p>
    <w:p w14:paraId="3120E943">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（23）关于印发《昌都市林长令制度》《昌都市林长巡林制度暨“两单一函”工作制度》《昌都市林长制工作通报制度》的通知，昌林长办发〔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3〕24号；</w:t>
      </w:r>
    </w:p>
    <w:p w14:paraId="0A421D48">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（24）中共昌都市委员会办公室昌都市人民政府办公室关于印发《昌都市全面推行林长制工作方案》的通知，昌委办〔</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1〕43号；</w:t>
      </w:r>
    </w:p>
    <w:p w14:paraId="20076E7C">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（25）关于印发《关于建立昌都市“林长+检察长+警长”协作工作机制的意见》的通知，昌林长办发〔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2〕14号；</w:t>
      </w:r>
    </w:p>
    <w:p w14:paraId="61A51A66">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（26）关于印发《关于建立“林长制+河湖长制”协作机制的意见》，昌林草发〔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4〕113号；</w:t>
      </w:r>
    </w:p>
    <w:p w14:paraId="42FFD42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（27）关于印发《昌都市林长制考核办法（试行）》的通知，昌林长办发〔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2〕5号；</w:t>
      </w:r>
    </w:p>
    <w:p w14:paraId="013ECC4B">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（28）关于印发《关于建立昌都市“林长制+气象服务”协作机制的意见》的通知，昌林草发〔</w:t>
      </w:r>
      <w:r>
        <w:rPr>
          <w:rStyle w:val="27"/>
          <w:rFonts w:ascii="Times New Roman"/>
          <w:b w:val="0"/>
          <w:bCs/>
          <w:sz w:val="24"/>
          <w:szCs w:val="24"/>
          <w:shd w:val="clear" w:color="auto" w:fill="FFFFFF"/>
        </w:rPr>
        <w:t>202</w:t>
      </w:r>
      <w:r>
        <w:rPr>
          <w:rStyle w:val="27"/>
          <w:rFonts w:hint="eastAsia" w:ascii="Times New Roman"/>
          <w:b w:val="0"/>
          <w:bCs/>
          <w:sz w:val="24"/>
          <w:szCs w:val="24"/>
          <w:shd w:val="clear" w:color="auto" w:fill="FFFFFF"/>
        </w:rPr>
        <w:t>5〕75号。</w:t>
      </w:r>
    </w:p>
    <w:p w14:paraId="59F8DBC7">
      <w:pPr>
        <w:pStyle w:val="4"/>
        <w:numPr>
          <w:ilvl w:val="2"/>
          <w:numId w:val="2"/>
        </w:numPr>
        <w:spacing w:before="120" w:after="120" w:line="360" w:lineRule="auto"/>
        <w:rPr>
          <w:rStyle w:val="28"/>
          <w:color w:val="auto"/>
          <w:sz w:val="28"/>
          <w:szCs w:val="28"/>
          <w:u w:val="none"/>
        </w:rPr>
      </w:pPr>
      <w:bookmarkStart w:id="67" w:name="_Toc20328"/>
      <w:r>
        <w:rPr>
          <w:rStyle w:val="28"/>
          <w:rFonts w:hint="eastAsia"/>
          <w:color w:val="auto"/>
          <w:sz w:val="28"/>
          <w:szCs w:val="28"/>
          <w:u w:val="none"/>
        </w:rPr>
        <w:t>其他基础资料</w:t>
      </w:r>
      <w:bookmarkEnd w:id="67"/>
    </w:p>
    <w:p w14:paraId="78EBEA0E">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（1）《昌都市</w:t>
      </w:r>
      <w:r>
        <w:rPr>
          <w:rFonts w:ascii="Times New Roman" w:hAnsi="Times New Roman" w:cs="Times New Roman"/>
          <w:sz w:val="24"/>
          <w:szCs w:val="24"/>
        </w:rPr>
        <w:t>202</w:t>
      </w:r>
      <w:r>
        <w:rPr>
          <w:rFonts w:hint="eastAsia" w:ascii="Times New Roman" w:hAnsi="Times New Roman" w:cs="Times New Roman"/>
          <w:sz w:val="24"/>
          <w:szCs w:val="24"/>
        </w:rPr>
        <w:t>4年国土变更数据》；</w:t>
      </w:r>
    </w:p>
    <w:p w14:paraId="08350485">
      <w:pPr>
        <w:spacing w:line="360" w:lineRule="auto"/>
        <w:ind w:firstLine="480" w:firstLineChars="200"/>
        <w:jc w:val="left"/>
        <w:rPr>
          <w:rFonts w:ascii="Times New Roman" w:hAnsi="Times New Roman" w:cs="Times New Roman"/>
          <w:sz w:val="24"/>
          <w:szCs w:val="24"/>
        </w:rPr>
      </w:pPr>
      <w:r>
        <w:rPr>
          <w:rFonts w:hint="eastAsia" w:ascii="Times New Roman" w:hAnsi="Times New Roman" w:cs="Times New Roman"/>
          <w:sz w:val="24"/>
          <w:szCs w:val="24"/>
        </w:rPr>
        <w:t>（2）《昌都市</w:t>
      </w:r>
      <w:r>
        <w:rPr>
          <w:rFonts w:ascii="Times New Roman" w:hAnsi="Times New Roman" w:cs="Times New Roman"/>
          <w:sz w:val="24"/>
          <w:szCs w:val="24"/>
        </w:rPr>
        <w:t>202</w:t>
      </w:r>
      <w:r>
        <w:rPr>
          <w:rFonts w:hint="eastAsia" w:ascii="Times New Roman" w:hAnsi="Times New Roman" w:cs="Times New Roman"/>
          <w:sz w:val="24"/>
          <w:szCs w:val="24"/>
        </w:rPr>
        <w:t>4年林草湿普查数据》；</w:t>
      </w:r>
    </w:p>
    <w:p w14:paraId="1A429472">
      <w:pPr>
        <w:spacing w:line="360" w:lineRule="auto"/>
        <w:ind w:firstLine="480" w:firstLineChars="200"/>
        <w:jc w:val="left"/>
        <w:rPr>
          <w:rStyle w:val="27"/>
          <w:rFonts w:ascii="Times New Roman"/>
          <w:b w:val="0"/>
          <w:bCs/>
          <w:sz w:val="24"/>
          <w:szCs w:val="24"/>
          <w:shd w:val="clear" w:color="auto" w:fill="FFFFFF"/>
        </w:rPr>
      </w:pP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3</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西藏自治区昌都市2023年草原健康和退化评估报告</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2025年5月</w:t>
      </w:r>
      <w:r>
        <w:rPr>
          <w:rStyle w:val="27"/>
          <w:rFonts w:ascii="Times New Roman"/>
          <w:b w:val="0"/>
          <w:bCs/>
          <w:sz w:val="24"/>
          <w:szCs w:val="24"/>
          <w:shd w:val="clear" w:color="auto" w:fill="FFFFFF"/>
        </w:rPr>
        <w:t>）；</w:t>
      </w:r>
    </w:p>
    <w:p w14:paraId="4D247B3C">
      <w:pPr>
        <w:spacing w:line="360" w:lineRule="auto"/>
        <w:ind w:firstLine="480" w:firstLineChars="200"/>
        <w:jc w:val="left"/>
        <w:rPr>
          <w:rStyle w:val="27"/>
          <w:rFonts w:ascii="Times New Roman"/>
          <w:b w:val="0"/>
          <w:bCs/>
          <w:sz w:val="24"/>
          <w:szCs w:val="24"/>
          <w:shd w:val="clear" w:color="auto" w:fill="FFFFFF"/>
        </w:rPr>
      </w:pP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4</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昌都市草地碳储量调查与计量</w:t>
      </w:r>
      <w:r>
        <w:rPr>
          <w:rStyle w:val="27"/>
          <w:rFonts w:ascii="Times New Roman"/>
          <w:b w:val="0"/>
          <w:bCs/>
          <w:sz w:val="24"/>
          <w:szCs w:val="24"/>
          <w:shd w:val="clear" w:color="auto" w:fill="FFFFFF"/>
        </w:rPr>
        <w:t>》（</w:t>
      </w:r>
      <w:r>
        <w:rPr>
          <w:rStyle w:val="27"/>
          <w:rFonts w:hint="eastAsia" w:ascii="Times New Roman"/>
          <w:b w:val="0"/>
          <w:bCs/>
          <w:sz w:val="24"/>
          <w:szCs w:val="24"/>
          <w:shd w:val="clear" w:color="auto" w:fill="FFFFFF"/>
        </w:rPr>
        <w:t>2023年11月</w:t>
      </w:r>
      <w:r>
        <w:rPr>
          <w:rStyle w:val="27"/>
          <w:rFonts w:ascii="Times New Roman"/>
          <w:b w:val="0"/>
          <w:bCs/>
          <w:sz w:val="24"/>
          <w:szCs w:val="24"/>
          <w:shd w:val="clear" w:color="auto" w:fill="FFFFFF"/>
        </w:rPr>
        <w:t>）；</w:t>
      </w:r>
    </w:p>
    <w:p w14:paraId="7FDECD6E">
      <w:pPr>
        <w:spacing w:line="360" w:lineRule="auto"/>
        <w:ind w:firstLine="480" w:firstLineChars="200"/>
        <w:jc w:val="left"/>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（5）实地调查资料和收集的相关材料。</w:t>
      </w:r>
    </w:p>
    <w:p w14:paraId="0A8CD4C8">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8" w:name="_Toc3068"/>
      <w:r>
        <w:rPr>
          <w:rStyle w:val="28"/>
          <w:rFonts w:hint="default" w:ascii="Times New Roman"/>
          <w:color w:val="auto"/>
          <w:kern w:val="2"/>
          <w:sz w:val="32"/>
          <w:szCs w:val="32"/>
          <w:u w:val="none"/>
        </w:rPr>
        <w:t>规划目标</w:t>
      </w:r>
      <w:bookmarkEnd w:id="68"/>
    </w:p>
    <w:p w14:paraId="61430D3C">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按照《西藏自治区人民政府办公厅关于加强草原保护修复的实施意见》的部署要求，完善草原保护修复制度体系，机制体制建设健全，退化草地科学有效修复，低质量草地生态质量得到精准提升，草原生态系统稳定、功能逐步提升，</w:t>
      </w:r>
      <w:r>
        <w:rPr>
          <w:rStyle w:val="27"/>
          <w:rFonts w:hint="eastAsia" w:ascii="Times New Roman"/>
          <w:b w:val="0"/>
          <w:bCs/>
          <w:sz w:val="24"/>
          <w:szCs w:val="24"/>
          <w:shd w:val="clear" w:color="auto" w:fill="FFFFFF"/>
          <w:lang w:eastAsia="zh-CN"/>
        </w:rPr>
        <w:t>探索建设国有草场，</w:t>
      </w:r>
      <w:r>
        <w:rPr>
          <w:rStyle w:val="27"/>
          <w:rFonts w:hint="eastAsia" w:ascii="Times New Roman"/>
          <w:b w:val="0"/>
          <w:bCs/>
          <w:sz w:val="24"/>
          <w:szCs w:val="24"/>
          <w:shd w:val="clear" w:color="auto" w:fill="FFFFFF"/>
        </w:rPr>
        <w:t>草原畜牧业现代化水平逐步提高，草原监测现代化水平和防灾减灾能力显著提高，全市草原三生功能得到有效发挥，全面建成草畜平衡示范市，生态修复先行区、国际生态文明高地、高原绿色产业基地、康藏文化旅游胜地，将昌都市打造成藏东生态安全屏障建设示范区，成为“绿水青山就是金山银山”的重要实践基地。</w:t>
      </w:r>
    </w:p>
    <w:p w14:paraId="6B25B8C4">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表4-1昌都市草原生态保护修复和草业发展规划主要指标</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
        <w:gridCol w:w="1544"/>
        <w:gridCol w:w="505"/>
        <w:gridCol w:w="1580"/>
        <w:gridCol w:w="1296"/>
        <w:gridCol w:w="1296"/>
        <w:gridCol w:w="583"/>
        <w:gridCol w:w="1857"/>
      </w:tblGrid>
      <w:tr w14:paraId="5697D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506" w:type="dxa"/>
            <w:vMerge w:val="restart"/>
            <w:vAlign w:val="center"/>
          </w:tcPr>
          <w:p w14:paraId="00E9E1E8">
            <w:pPr>
              <w:jc w:val="center"/>
              <w:rPr>
                <w:rFonts w:ascii="Times New Roman" w:hAnsi="Times New Roman" w:cs="Times New Roman"/>
                <w:szCs w:val="21"/>
              </w:rPr>
            </w:pPr>
            <w:r>
              <w:rPr>
                <w:rFonts w:ascii="Times New Roman" w:hAnsi="Times New Roman" w:cs="Times New Roman"/>
                <w:szCs w:val="21"/>
              </w:rPr>
              <w:t>序号</w:t>
            </w:r>
          </w:p>
        </w:tc>
        <w:tc>
          <w:tcPr>
            <w:tcW w:w="1544" w:type="dxa"/>
            <w:vMerge w:val="restart"/>
            <w:vAlign w:val="center"/>
          </w:tcPr>
          <w:p w14:paraId="10DE1FF9">
            <w:pPr>
              <w:jc w:val="center"/>
              <w:rPr>
                <w:rFonts w:ascii="Times New Roman" w:hAnsi="Times New Roman" w:cs="Times New Roman"/>
                <w:szCs w:val="21"/>
              </w:rPr>
            </w:pPr>
            <w:r>
              <w:rPr>
                <w:rFonts w:ascii="Times New Roman" w:hAnsi="Times New Roman" w:cs="Times New Roman"/>
                <w:szCs w:val="21"/>
              </w:rPr>
              <w:t>指标</w:t>
            </w:r>
          </w:p>
        </w:tc>
        <w:tc>
          <w:tcPr>
            <w:tcW w:w="505" w:type="dxa"/>
            <w:vMerge w:val="restart"/>
            <w:vAlign w:val="center"/>
          </w:tcPr>
          <w:p w14:paraId="74BD7C53">
            <w:pPr>
              <w:jc w:val="center"/>
              <w:rPr>
                <w:rFonts w:ascii="Times New Roman" w:hAnsi="Times New Roman" w:cs="Times New Roman"/>
                <w:szCs w:val="21"/>
              </w:rPr>
            </w:pPr>
            <w:r>
              <w:rPr>
                <w:rFonts w:ascii="Times New Roman" w:hAnsi="Times New Roman" w:cs="Times New Roman"/>
                <w:szCs w:val="21"/>
              </w:rPr>
              <w:t>单位</w:t>
            </w:r>
          </w:p>
        </w:tc>
        <w:tc>
          <w:tcPr>
            <w:tcW w:w="1580" w:type="dxa"/>
            <w:vMerge w:val="restart"/>
            <w:vAlign w:val="center"/>
          </w:tcPr>
          <w:p w14:paraId="2907B564">
            <w:pPr>
              <w:jc w:val="center"/>
              <w:rPr>
                <w:rFonts w:ascii="Times New Roman" w:hAnsi="Times New Roman" w:cs="Times New Roman"/>
                <w:szCs w:val="21"/>
              </w:rPr>
            </w:pPr>
            <w:r>
              <w:rPr>
                <w:rFonts w:ascii="Times New Roman" w:hAnsi="Times New Roman" w:cs="Times New Roman"/>
                <w:szCs w:val="21"/>
              </w:rPr>
              <w:t>基准年</w:t>
            </w:r>
          </w:p>
          <w:p w14:paraId="2252A2DE">
            <w:pPr>
              <w:jc w:val="center"/>
              <w:rPr>
                <w:rFonts w:ascii="Times New Roman" w:hAnsi="Times New Roman" w:cs="Times New Roman"/>
                <w:szCs w:val="21"/>
              </w:rPr>
            </w:pPr>
            <w:r>
              <w:rPr>
                <w:rFonts w:ascii="Times New Roman" w:hAnsi="Times New Roman" w:cs="Times New Roman"/>
                <w:szCs w:val="21"/>
              </w:rPr>
              <w:t>（2025年）</w:t>
            </w:r>
          </w:p>
        </w:tc>
        <w:tc>
          <w:tcPr>
            <w:tcW w:w="2592" w:type="dxa"/>
            <w:gridSpan w:val="2"/>
            <w:vAlign w:val="center"/>
          </w:tcPr>
          <w:p w14:paraId="0DB07985">
            <w:pPr>
              <w:jc w:val="center"/>
              <w:rPr>
                <w:rFonts w:ascii="Times New Roman" w:hAnsi="Times New Roman" w:cs="Times New Roman"/>
                <w:szCs w:val="21"/>
              </w:rPr>
            </w:pPr>
            <w:r>
              <w:rPr>
                <w:rFonts w:ascii="Times New Roman" w:hAnsi="Times New Roman" w:cs="Times New Roman"/>
                <w:szCs w:val="21"/>
              </w:rPr>
              <w:t>规划年</w:t>
            </w:r>
          </w:p>
        </w:tc>
        <w:tc>
          <w:tcPr>
            <w:tcW w:w="583" w:type="dxa"/>
            <w:vMerge w:val="restart"/>
            <w:vAlign w:val="center"/>
          </w:tcPr>
          <w:p w14:paraId="1939A583">
            <w:pPr>
              <w:jc w:val="center"/>
              <w:rPr>
                <w:rFonts w:ascii="Times New Roman" w:hAnsi="Times New Roman" w:cs="Times New Roman"/>
                <w:szCs w:val="21"/>
              </w:rPr>
            </w:pPr>
            <w:r>
              <w:rPr>
                <w:rFonts w:ascii="Times New Roman" w:hAnsi="Times New Roman" w:cs="Times New Roman"/>
                <w:szCs w:val="21"/>
              </w:rPr>
              <w:t>属性</w:t>
            </w:r>
          </w:p>
        </w:tc>
        <w:tc>
          <w:tcPr>
            <w:tcW w:w="1857" w:type="dxa"/>
            <w:vMerge w:val="restart"/>
            <w:vAlign w:val="center"/>
          </w:tcPr>
          <w:p w14:paraId="5EE3B12E">
            <w:pPr>
              <w:jc w:val="center"/>
              <w:rPr>
                <w:rFonts w:ascii="Times New Roman" w:hAnsi="Times New Roman" w:cs="Times New Roman"/>
                <w:szCs w:val="21"/>
              </w:rPr>
            </w:pPr>
            <w:r>
              <w:rPr>
                <w:rFonts w:ascii="Times New Roman" w:hAnsi="Times New Roman" w:cs="Times New Roman"/>
                <w:szCs w:val="21"/>
              </w:rPr>
              <w:t>备注</w:t>
            </w:r>
          </w:p>
        </w:tc>
      </w:tr>
      <w:tr w14:paraId="1661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6" w:type="dxa"/>
            <w:vMerge w:val="continue"/>
            <w:vAlign w:val="center"/>
          </w:tcPr>
          <w:p w14:paraId="1FE4FEC3">
            <w:pPr>
              <w:jc w:val="center"/>
              <w:rPr>
                <w:rFonts w:ascii="Times New Roman" w:hAnsi="Times New Roman" w:cs="Times New Roman"/>
                <w:szCs w:val="21"/>
              </w:rPr>
            </w:pPr>
          </w:p>
        </w:tc>
        <w:tc>
          <w:tcPr>
            <w:tcW w:w="1544" w:type="dxa"/>
            <w:vMerge w:val="continue"/>
            <w:vAlign w:val="center"/>
          </w:tcPr>
          <w:p w14:paraId="7681A892">
            <w:pPr>
              <w:jc w:val="center"/>
              <w:rPr>
                <w:rFonts w:ascii="Times New Roman" w:hAnsi="Times New Roman" w:cs="Times New Roman"/>
                <w:szCs w:val="21"/>
              </w:rPr>
            </w:pPr>
          </w:p>
        </w:tc>
        <w:tc>
          <w:tcPr>
            <w:tcW w:w="505" w:type="dxa"/>
            <w:vMerge w:val="continue"/>
            <w:vAlign w:val="center"/>
          </w:tcPr>
          <w:p w14:paraId="7AC8DC4C">
            <w:pPr>
              <w:jc w:val="center"/>
              <w:rPr>
                <w:rFonts w:ascii="Times New Roman" w:hAnsi="Times New Roman" w:cs="Times New Roman"/>
                <w:szCs w:val="21"/>
              </w:rPr>
            </w:pPr>
          </w:p>
        </w:tc>
        <w:tc>
          <w:tcPr>
            <w:tcW w:w="1580" w:type="dxa"/>
            <w:vMerge w:val="continue"/>
            <w:vAlign w:val="center"/>
          </w:tcPr>
          <w:p w14:paraId="50C181B2">
            <w:pPr>
              <w:jc w:val="center"/>
              <w:rPr>
                <w:rFonts w:ascii="Times New Roman" w:hAnsi="Times New Roman" w:cs="Times New Roman"/>
                <w:szCs w:val="21"/>
              </w:rPr>
            </w:pPr>
          </w:p>
        </w:tc>
        <w:tc>
          <w:tcPr>
            <w:tcW w:w="1296" w:type="dxa"/>
            <w:vAlign w:val="center"/>
          </w:tcPr>
          <w:p w14:paraId="6AC66136">
            <w:pPr>
              <w:jc w:val="center"/>
              <w:rPr>
                <w:rFonts w:ascii="Times New Roman" w:hAnsi="Times New Roman" w:cs="Times New Roman"/>
                <w:szCs w:val="21"/>
              </w:rPr>
            </w:pPr>
            <w:r>
              <w:rPr>
                <w:rFonts w:ascii="Times New Roman" w:hAnsi="Times New Roman" w:cs="Times New Roman"/>
                <w:szCs w:val="21"/>
              </w:rPr>
              <w:t>2030年</w:t>
            </w:r>
          </w:p>
        </w:tc>
        <w:tc>
          <w:tcPr>
            <w:tcW w:w="1296" w:type="dxa"/>
            <w:vAlign w:val="center"/>
          </w:tcPr>
          <w:p w14:paraId="42A40DC2">
            <w:pPr>
              <w:jc w:val="center"/>
              <w:rPr>
                <w:rFonts w:ascii="Times New Roman" w:hAnsi="Times New Roman" w:cs="Times New Roman"/>
                <w:szCs w:val="21"/>
              </w:rPr>
            </w:pPr>
            <w:r>
              <w:rPr>
                <w:rFonts w:ascii="Times New Roman" w:hAnsi="Times New Roman" w:cs="Times New Roman"/>
                <w:szCs w:val="21"/>
              </w:rPr>
              <w:t>2035年</w:t>
            </w:r>
          </w:p>
        </w:tc>
        <w:tc>
          <w:tcPr>
            <w:tcW w:w="583" w:type="dxa"/>
            <w:vMerge w:val="continue"/>
            <w:vAlign w:val="center"/>
          </w:tcPr>
          <w:p w14:paraId="4A20096B">
            <w:pPr>
              <w:jc w:val="center"/>
              <w:rPr>
                <w:rFonts w:ascii="Times New Roman" w:hAnsi="Times New Roman" w:cs="Times New Roman"/>
                <w:szCs w:val="21"/>
              </w:rPr>
            </w:pPr>
          </w:p>
        </w:tc>
        <w:tc>
          <w:tcPr>
            <w:tcW w:w="1857" w:type="dxa"/>
            <w:vMerge w:val="continue"/>
            <w:vAlign w:val="center"/>
          </w:tcPr>
          <w:p w14:paraId="2F333562">
            <w:pPr>
              <w:jc w:val="center"/>
              <w:rPr>
                <w:rFonts w:ascii="Times New Roman" w:hAnsi="Times New Roman" w:cs="Times New Roman"/>
                <w:szCs w:val="21"/>
              </w:rPr>
            </w:pPr>
          </w:p>
        </w:tc>
      </w:tr>
      <w:tr w14:paraId="6E82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57864A6E">
            <w:pPr>
              <w:jc w:val="center"/>
              <w:rPr>
                <w:rFonts w:ascii="Times New Roman" w:hAnsi="Times New Roman" w:cs="Times New Roman"/>
                <w:szCs w:val="21"/>
              </w:rPr>
            </w:pPr>
            <w:r>
              <w:rPr>
                <w:rFonts w:ascii="Times New Roman" w:hAnsi="Times New Roman" w:cs="Times New Roman"/>
                <w:szCs w:val="21"/>
              </w:rPr>
              <w:t>1</w:t>
            </w:r>
          </w:p>
        </w:tc>
        <w:tc>
          <w:tcPr>
            <w:tcW w:w="1544" w:type="dxa"/>
            <w:vAlign w:val="center"/>
          </w:tcPr>
          <w:p w14:paraId="1DFC73DA">
            <w:pPr>
              <w:jc w:val="center"/>
              <w:rPr>
                <w:rFonts w:ascii="Times New Roman" w:hAnsi="Times New Roman" w:cs="Times New Roman"/>
                <w:szCs w:val="21"/>
              </w:rPr>
            </w:pPr>
            <w:r>
              <w:rPr>
                <w:rFonts w:ascii="Times New Roman" w:hAnsi="Times New Roman" w:cs="Times New Roman"/>
                <w:szCs w:val="21"/>
              </w:rPr>
              <w:t>基本草原保持面积</w:t>
            </w:r>
          </w:p>
        </w:tc>
        <w:tc>
          <w:tcPr>
            <w:tcW w:w="505" w:type="dxa"/>
            <w:vAlign w:val="center"/>
          </w:tcPr>
          <w:p w14:paraId="2EE8F4D4">
            <w:pPr>
              <w:jc w:val="center"/>
              <w:rPr>
                <w:rFonts w:ascii="Times New Roman" w:hAnsi="Times New Roman" w:cs="Times New Roman"/>
                <w:szCs w:val="21"/>
              </w:rPr>
            </w:pPr>
            <w:r>
              <w:rPr>
                <w:rFonts w:ascii="Times New Roman" w:hAnsi="Times New Roman" w:cs="Times New Roman"/>
                <w:szCs w:val="21"/>
              </w:rPr>
              <w:t>公顷</w:t>
            </w:r>
          </w:p>
        </w:tc>
        <w:tc>
          <w:tcPr>
            <w:tcW w:w="1580" w:type="dxa"/>
            <w:vAlign w:val="center"/>
          </w:tcPr>
          <w:p w14:paraId="7DA2D6B1">
            <w:pPr>
              <w:jc w:val="center"/>
              <w:rPr>
                <w:rFonts w:ascii="Times New Roman" w:hAnsi="Times New Roman" w:cs="Times New Roman"/>
                <w:szCs w:val="21"/>
              </w:rPr>
            </w:pPr>
            <w:r>
              <w:rPr>
                <w:rFonts w:ascii="Times New Roman" w:hAnsi="Times New Roman" w:cs="Times New Roman"/>
                <w:szCs w:val="21"/>
              </w:rPr>
              <w:t>4045320.03</w:t>
            </w:r>
          </w:p>
        </w:tc>
        <w:tc>
          <w:tcPr>
            <w:tcW w:w="1296" w:type="dxa"/>
            <w:vAlign w:val="center"/>
          </w:tcPr>
          <w:p w14:paraId="2C0AC159">
            <w:pPr>
              <w:jc w:val="center"/>
              <w:rPr>
                <w:rFonts w:ascii="Times New Roman" w:hAnsi="Times New Roman" w:eastAsia="宋体" w:cs="Times New Roman"/>
                <w:b/>
                <w:bCs/>
                <w:szCs w:val="21"/>
              </w:rPr>
            </w:pPr>
            <w:r>
              <w:rPr>
                <w:rFonts w:ascii="Times New Roman" w:hAnsi="Times New Roman" w:eastAsia="宋体" w:cs="Times New Roman"/>
                <w:b/>
                <w:bCs/>
                <w:szCs w:val="21"/>
              </w:rPr>
              <w:t>/</w:t>
            </w:r>
          </w:p>
        </w:tc>
        <w:tc>
          <w:tcPr>
            <w:tcW w:w="1296" w:type="dxa"/>
            <w:vAlign w:val="center"/>
          </w:tcPr>
          <w:p w14:paraId="6F16B0E8">
            <w:pPr>
              <w:jc w:val="center"/>
              <w:rPr>
                <w:rFonts w:ascii="Times New Roman" w:hAnsi="Times New Roman" w:cs="Times New Roman"/>
                <w:b/>
                <w:bCs/>
                <w:szCs w:val="21"/>
              </w:rPr>
            </w:pPr>
            <w:r>
              <w:rPr>
                <w:rFonts w:ascii="Times New Roman" w:hAnsi="Times New Roman" w:cs="Times New Roman"/>
                <w:b/>
                <w:bCs/>
                <w:szCs w:val="21"/>
              </w:rPr>
              <w:t>/</w:t>
            </w:r>
          </w:p>
        </w:tc>
        <w:tc>
          <w:tcPr>
            <w:tcW w:w="583" w:type="dxa"/>
            <w:vAlign w:val="center"/>
          </w:tcPr>
          <w:p w14:paraId="30E39F18">
            <w:pPr>
              <w:jc w:val="center"/>
              <w:rPr>
                <w:rFonts w:ascii="Times New Roman" w:hAnsi="Times New Roman" w:cs="Times New Roman"/>
                <w:szCs w:val="21"/>
              </w:rPr>
            </w:pPr>
            <w:r>
              <w:rPr>
                <w:rFonts w:ascii="Times New Roman" w:hAnsi="Times New Roman" w:cs="Times New Roman"/>
                <w:szCs w:val="21"/>
              </w:rPr>
              <w:t>约束性</w:t>
            </w:r>
          </w:p>
        </w:tc>
        <w:tc>
          <w:tcPr>
            <w:tcW w:w="1857" w:type="dxa"/>
            <w:vAlign w:val="center"/>
          </w:tcPr>
          <w:p w14:paraId="46A1243A">
            <w:pPr>
              <w:jc w:val="center"/>
              <w:rPr>
                <w:rFonts w:ascii="Times New Roman" w:hAnsi="Times New Roman" w:cs="Times New Roman"/>
                <w:szCs w:val="21"/>
              </w:rPr>
            </w:pPr>
            <w:r>
              <w:rPr>
                <w:rFonts w:ascii="Times New Roman" w:hAnsi="Times New Roman" w:cs="Times New Roman"/>
                <w:szCs w:val="21"/>
              </w:rPr>
              <w:t>不低于自治区总体要求</w:t>
            </w:r>
          </w:p>
        </w:tc>
      </w:tr>
      <w:tr w14:paraId="7DB33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59570214">
            <w:pPr>
              <w:jc w:val="center"/>
              <w:rPr>
                <w:rFonts w:ascii="Times New Roman" w:hAnsi="Times New Roman" w:cs="Times New Roman"/>
                <w:szCs w:val="21"/>
              </w:rPr>
            </w:pPr>
            <w:r>
              <w:rPr>
                <w:rFonts w:ascii="Times New Roman" w:hAnsi="Times New Roman" w:cs="Times New Roman"/>
                <w:szCs w:val="21"/>
              </w:rPr>
              <w:t>2</w:t>
            </w:r>
          </w:p>
        </w:tc>
        <w:tc>
          <w:tcPr>
            <w:tcW w:w="1544" w:type="dxa"/>
            <w:vAlign w:val="center"/>
          </w:tcPr>
          <w:p w14:paraId="53F4C230">
            <w:pPr>
              <w:jc w:val="center"/>
              <w:rPr>
                <w:rFonts w:ascii="Times New Roman" w:hAnsi="Times New Roman" w:cs="Times New Roman"/>
                <w:szCs w:val="21"/>
              </w:rPr>
            </w:pPr>
            <w:r>
              <w:rPr>
                <w:rFonts w:ascii="Times New Roman" w:hAnsi="Times New Roman" w:cs="Times New Roman"/>
                <w:szCs w:val="21"/>
              </w:rPr>
              <w:t>草原综合植被盖度</w:t>
            </w:r>
          </w:p>
        </w:tc>
        <w:tc>
          <w:tcPr>
            <w:tcW w:w="505" w:type="dxa"/>
            <w:vAlign w:val="center"/>
          </w:tcPr>
          <w:p w14:paraId="6C19B16A">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0F126A83">
            <w:pPr>
              <w:jc w:val="center"/>
              <w:rPr>
                <w:rFonts w:ascii="Times New Roman" w:hAnsi="Times New Roman" w:cs="Times New Roman"/>
                <w:szCs w:val="21"/>
              </w:rPr>
            </w:pPr>
            <w:r>
              <w:rPr>
                <w:rFonts w:ascii="Times New Roman" w:hAnsi="Times New Roman" w:cs="Times New Roman"/>
                <w:szCs w:val="21"/>
              </w:rPr>
              <w:t>78.04</w:t>
            </w:r>
          </w:p>
        </w:tc>
        <w:tc>
          <w:tcPr>
            <w:tcW w:w="1296" w:type="dxa"/>
            <w:vAlign w:val="center"/>
          </w:tcPr>
          <w:p w14:paraId="582D7DA6">
            <w:pPr>
              <w:jc w:val="center"/>
              <w:rPr>
                <w:rFonts w:ascii="Times New Roman" w:hAnsi="Times New Roman" w:cs="Times New Roman"/>
                <w:szCs w:val="21"/>
              </w:rPr>
            </w:pPr>
            <w:r>
              <w:rPr>
                <w:rFonts w:ascii="Times New Roman" w:hAnsi="Times New Roman" w:cs="Times New Roman"/>
                <w:szCs w:val="21"/>
              </w:rPr>
              <w:t>79</w:t>
            </w:r>
          </w:p>
        </w:tc>
        <w:tc>
          <w:tcPr>
            <w:tcW w:w="1296" w:type="dxa"/>
            <w:vAlign w:val="center"/>
          </w:tcPr>
          <w:p w14:paraId="53B64989">
            <w:pPr>
              <w:jc w:val="center"/>
              <w:rPr>
                <w:rFonts w:ascii="Times New Roman" w:hAnsi="Times New Roman" w:cs="Times New Roman"/>
                <w:szCs w:val="21"/>
              </w:rPr>
            </w:pPr>
            <w:r>
              <w:rPr>
                <w:rStyle w:val="29"/>
                <w:rFonts w:ascii="Times New Roman" w:hAnsi="Times New Roman" w:cs="Times New Roman"/>
              </w:rPr>
              <w:t>79</w:t>
            </w:r>
          </w:p>
        </w:tc>
        <w:tc>
          <w:tcPr>
            <w:tcW w:w="583" w:type="dxa"/>
            <w:vAlign w:val="center"/>
          </w:tcPr>
          <w:p w14:paraId="1C9A6FC1">
            <w:pPr>
              <w:jc w:val="center"/>
              <w:rPr>
                <w:rFonts w:ascii="Times New Roman" w:hAnsi="Times New Roman" w:cs="Times New Roman"/>
                <w:szCs w:val="21"/>
              </w:rPr>
            </w:pPr>
            <w:r>
              <w:rPr>
                <w:rFonts w:ascii="Times New Roman" w:hAnsi="Times New Roman" w:cs="Times New Roman"/>
                <w:szCs w:val="21"/>
              </w:rPr>
              <w:t>约束性</w:t>
            </w:r>
          </w:p>
        </w:tc>
        <w:tc>
          <w:tcPr>
            <w:tcW w:w="1857" w:type="dxa"/>
            <w:vAlign w:val="center"/>
          </w:tcPr>
          <w:p w14:paraId="1C92AD5E">
            <w:pPr>
              <w:jc w:val="center"/>
              <w:rPr>
                <w:rFonts w:ascii="Times New Roman" w:hAnsi="Times New Roman" w:cs="Times New Roman"/>
                <w:szCs w:val="21"/>
              </w:rPr>
            </w:pPr>
            <w:r>
              <w:rPr>
                <w:rFonts w:ascii="Times New Roman" w:hAnsi="Times New Roman" w:cs="Times New Roman"/>
                <w:szCs w:val="21"/>
              </w:rPr>
              <w:t>昌都市国土空间总体规划提出，2035年不少于79%</w:t>
            </w:r>
          </w:p>
        </w:tc>
      </w:tr>
      <w:tr w14:paraId="2FD31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261FF336">
            <w:pPr>
              <w:jc w:val="center"/>
              <w:rPr>
                <w:rFonts w:ascii="Times New Roman" w:hAnsi="Times New Roman" w:cs="Times New Roman"/>
                <w:szCs w:val="21"/>
              </w:rPr>
            </w:pPr>
            <w:r>
              <w:rPr>
                <w:rFonts w:ascii="Times New Roman" w:hAnsi="Times New Roman" w:cs="Times New Roman"/>
                <w:szCs w:val="21"/>
              </w:rPr>
              <w:t>3</w:t>
            </w:r>
          </w:p>
        </w:tc>
        <w:tc>
          <w:tcPr>
            <w:tcW w:w="1544" w:type="dxa"/>
            <w:vAlign w:val="center"/>
          </w:tcPr>
          <w:p w14:paraId="597B2B9A">
            <w:pPr>
              <w:jc w:val="center"/>
              <w:rPr>
                <w:rFonts w:ascii="Times New Roman" w:hAnsi="Times New Roman" w:cs="Times New Roman"/>
                <w:szCs w:val="21"/>
              </w:rPr>
            </w:pPr>
            <w:r>
              <w:rPr>
                <w:rFonts w:ascii="Times New Roman" w:hAnsi="Times New Roman" w:cs="Times New Roman"/>
                <w:szCs w:val="21"/>
              </w:rPr>
              <w:t>草原禁牧面积</w:t>
            </w:r>
          </w:p>
        </w:tc>
        <w:tc>
          <w:tcPr>
            <w:tcW w:w="505" w:type="dxa"/>
            <w:vAlign w:val="center"/>
          </w:tcPr>
          <w:p w14:paraId="40BD9857">
            <w:pPr>
              <w:jc w:val="center"/>
              <w:rPr>
                <w:rFonts w:ascii="Times New Roman" w:hAnsi="Times New Roman" w:cs="Times New Roman"/>
                <w:szCs w:val="21"/>
              </w:rPr>
            </w:pPr>
            <w:r>
              <w:rPr>
                <w:rFonts w:ascii="Times New Roman" w:hAnsi="Times New Roman" w:cs="Times New Roman"/>
                <w:szCs w:val="21"/>
              </w:rPr>
              <w:t>万亩</w:t>
            </w:r>
          </w:p>
        </w:tc>
        <w:tc>
          <w:tcPr>
            <w:tcW w:w="1580" w:type="dxa"/>
            <w:vAlign w:val="center"/>
          </w:tcPr>
          <w:p w14:paraId="2EE245C8">
            <w:pPr>
              <w:jc w:val="center"/>
              <w:rPr>
                <w:rFonts w:ascii="Times New Roman" w:hAnsi="Times New Roman" w:cs="Times New Roman"/>
                <w:szCs w:val="21"/>
              </w:rPr>
            </w:pPr>
            <w:r>
              <w:rPr>
                <w:rFonts w:ascii="Times New Roman" w:hAnsi="Times New Roman" w:cs="Times New Roman"/>
                <w:szCs w:val="21"/>
              </w:rPr>
              <w:t>916.25</w:t>
            </w:r>
          </w:p>
        </w:tc>
        <w:tc>
          <w:tcPr>
            <w:tcW w:w="1296" w:type="dxa"/>
            <w:vAlign w:val="center"/>
          </w:tcPr>
          <w:p w14:paraId="22E807AE">
            <w:pPr>
              <w:jc w:val="center"/>
              <w:rPr>
                <w:rFonts w:ascii="Times New Roman" w:hAnsi="Times New Roman" w:cs="Times New Roman"/>
                <w:szCs w:val="21"/>
              </w:rPr>
            </w:pPr>
            <w:r>
              <w:rPr>
                <w:rFonts w:ascii="Times New Roman" w:hAnsi="Times New Roman" w:cs="Times New Roman"/>
                <w:szCs w:val="21"/>
              </w:rPr>
              <w:t>800</w:t>
            </w:r>
          </w:p>
        </w:tc>
        <w:tc>
          <w:tcPr>
            <w:tcW w:w="1296" w:type="dxa"/>
            <w:vAlign w:val="center"/>
          </w:tcPr>
          <w:p w14:paraId="0B28D7B7">
            <w:pPr>
              <w:jc w:val="center"/>
              <w:rPr>
                <w:rFonts w:ascii="Times New Roman" w:hAnsi="Times New Roman" w:cs="Times New Roman"/>
                <w:szCs w:val="21"/>
              </w:rPr>
            </w:pPr>
            <w:r>
              <w:rPr>
                <w:rFonts w:ascii="Times New Roman" w:hAnsi="Times New Roman" w:cs="Times New Roman"/>
                <w:szCs w:val="21"/>
              </w:rPr>
              <w:t>800</w:t>
            </w:r>
          </w:p>
        </w:tc>
        <w:tc>
          <w:tcPr>
            <w:tcW w:w="583" w:type="dxa"/>
            <w:vAlign w:val="center"/>
          </w:tcPr>
          <w:p w14:paraId="5E056CCA">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4976077B">
            <w:pPr>
              <w:jc w:val="center"/>
              <w:rPr>
                <w:rFonts w:ascii="Times New Roman" w:hAnsi="Times New Roman" w:cs="Times New Roman"/>
                <w:szCs w:val="21"/>
              </w:rPr>
            </w:pPr>
          </w:p>
        </w:tc>
      </w:tr>
      <w:tr w14:paraId="35633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6DEE2857">
            <w:pPr>
              <w:jc w:val="center"/>
              <w:rPr>
                <w:rFonts w:ascii="Times New Roman" w:hAnsi="Times New Roman" w:cs="Times New Roman"/>
                <w:szCs w:val="21"/>
              </w:rPr>
            </w:pPr>
            <w:r>
              <w:rPr>
                <w:rFonts w:ascii="Times New Roman" w:hAnsi="Times New Roman" w:cs="Times New Roman"/>
                <w:szCs w:val="21"/>
              </w:rPr>
              <w:t>4</w:t>
            </w:r>
          </w:p>
        </w:tc>
        <w:tc>
          <w:tcPr>
            <w:tcW w:w="1544" w:type="dxa"/>
            <w:vAlign w:val="center"/>
          </w:tcPr>
          <w:p w14:paraId="00F4626F">
            <w:pPr>
              <w:jc w:val="center"/>
              <w:rPr>
                <w:rFonts w:ascii="Times New Roman" w:hAnsi="Times New Roman" w:cs="Times New Roman"/>
                <w:szCs w:val="21"/>
              </w:rPr>
            </w:pPr>
            <w:r>
              <w:rPr>
                <w:rFonts w:ascii="Times New Roman" w:hAnsi="Times New Roman" w:cs="Times New Roman"/>
                <w:szCs w:val="21"/>
              </w:rPr>
              <w:t>退化草原修复面积</w:t>
            </w:r>
          </w:p>
        </w:tc>
        <w:tc>
          <w:tcPr>
            <w:tcW w:w="505" w:type="dxa"/>
            <w:vAlign w:val="center"/>
          </w:tcPr>
          <w:p w14:paraId="07331492">
            <w:pPr>
              <w:jc w:val="center"/>
              <w:rPr>
                <w:rFonts w:ascii="Times New Roman" w:hAnsi="Times New Roman" w:cs="Times New Roman"/>
                <w:szCs w:val="21"/>
              </w:rPr>
            </w:pPr>
            <w:r>
              <w:rPr>
                <w:rFonts w:ascii="Times New Roman" w:hAnsi="Times New Roman" w:cs="Times New Roman"/>
                <w:szCs w:val="21"/>
              </w:rPr>
              <w:t>万亩</w:t>
            </w:r>
          </w:p>
        </w:tc>
        <w:tc>
          <w:tcPr>
            <w:tcW w:w="1580" w:type="dxa"/>
            <w:vAlign w:val="center"/>
          </w:tcPr>
          <w:p w14:paraId="4A1E8CF6">
            <w:pPr>
              <w:jc w:val="center"/>
              <w:rPr>
                <w:rFonts w:ascii="Times New Roman" w:hAnsi="Times New Roman" w:cs="Times New Roman"/>
                <w:szCs w:val="21"/>
              </w:rPr>
            </w:pPr>
            <w:r>
              <w:rPr>
                <w:rFonts w:ascii="Times New Roman" w:hAnsi="Times New Roman" w:cs="Times New Roman"/>
                <w:szCs w:val="21"/>
              </w:rPr>
              <w:t>41</w:t>
            </w:r>
          </w:p>
          <w:p w14:paraId="672036B2">
            <w:pPr>
              <w:jc w:val="center"/>
              <w:rPr>
                <w:rFonts w:ascii="Times New Roman" w:hAnsi="Times New Roman" w:cs="Times New Roman"/>
                <w:szCs w:val="21"/>
              </w:rPr>
            </w:pPr>
            <w:r>
              <w:rPr>
                <w:rFonts w:ascii="Times New Roman" w:hAnsi="Times New Roman" w:cs="Times New Roman"/>
                <w:szCs w:val="21"/>
              </w:rPr>
              <w:t>（2024年）</w:t>
            </w:r>
          </w:p>
        </w:tc>
        <w:tc>
          <w:tcPr>
            <w:tcW w:w="1296" w:type="dxa"/>
            <w:vAlign w:val="center"/>
          </w:tcPr>
          <w:p w14:paraId="1AE0671F">
            <w:pPr>
              <w:jc w:val="center"/>
              <w:rPr>
                <w:rFonts w:ascii="Times New Roman" w:hAnsi="Times New Roman" w:cs="Times New Roman"/>
                <w:szCs w:val="21"/>
              </w:rPr>
            </w:pPr>
            <w:r>
              <w:rPr>
                <w:rFonts w:hint="eastAsia" w:ascii="Times New Roman" w:hAnsi="Times New Roman" w:cs="Times New Roman"/>
                <w:szCs w:val="21"/>
              </w:rPr>
              <w:t>5年累计修复250万亩</w:t>
            </w:r>
          </w:p>
        </w:tc>
        <w:tc>
          <w:tcPr>
            <w:tcW w:w="1296" w:type="dxa"/>
            <w:vAlign w:val="center"/>
          </w:tcPr>
          <w:p w14:paraId="65925F08">
            <w:pPr>
              <w:jc w:val="center"/>
              <w:rPr>
                <w:rFonts w:ascii="Times New Roman" w:hAnsi="Times New Roman" w:cs="Times New Roman"/>
                <w:szCs w:val="21"/>
              </w:rPr>
            </w:pPr>
            <w:r>
              <w:rPr>
                <w:rFonts w:hint="eastAsia" w:ascii="Times New Roman" w:hAnsi="Times New Roman" w:cs="Times New Roman"/>
                <w:szCs w:val="21"/>
              </w:rPr>
              <w:t>5年累计修复250万亩</w:t>
            </w:r>
          </w:p>
        </w:tc>
        <w:tc>
          <w:tcPr>
            <w:tcW w:w="583" w:type="dxa"/>
            <w:vAlign w:val="center"/>
          </w:tcPr>
          <w:p w14:paraId="3419F0CD">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37EFB337">
            <w:pPr>
              <w:jc w:val="center"/>
              <w:rPr>
                <w:rFonts w:ascii="Times New Roman" w:hAnsi="Times New Roman" w:cs="Times New Roman"/>
                <w:color w:val="0000CC"/>
                <w:szCs w:val="21"/>
              </w:rPr>
            </w:pPr>
            <w:r>
              <w:rPr>
                <w:rFonts w:hint="eastAsia" w:ascii="Times New Roman" w:hAnsi="Times New Roman" w:cs="Times New Roman"/>
                <w:color w:val="0000CC"/>
                <w:szCs w:val="21"/>
              </w:rPr>
              <w:t>至2035年拟推进500万亩，其中，重度退化草原约20万亩、中度退化草原约280万亩、轻度退化草原约200万亩</w:t>
            </w:r>
          </w:p>
        </w:tc>
      </w:tr>
      <w:tr w14:paraId="7623B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658D5F76">
            <w:pPr>
              <w:jc w:val="center"/>
              <w:rPr>
                <w:rFonts w:ascii="Times New Roman" w:hAnsi="Times New Roman" w:cs="Times New Roman"/>
                <w:szCs w:val="21"/>
              </w:rPr>
            </w:pPr>
            <w:r>
              <w:rPr>
                <w:rFonts w:ascii="Times New Roman" w:hAnsi="Times New Roman" w:cs="Times New Roman"/>
                <w:szCs w:val="21"/>
              </w:rPr>
              <w:t>5</w:t>
            </w:r>
          </w:p>
        </w:tc>
        <w:tc>
          <w:tcPr>
            <w:tcW w:w="1544" w:type="dxa"/>
            <w:vAlign w:val="center"/>
          </w:tcPr>
          <w:p w14:paraId="26877FA2">
            <w:pPr>
              <w:jc w:val="center"/>
              <w:rPr>
                <w:rFonts w:ascii="Times New Roman" w:hAnsi="Times New Roman" w:cs="Times New Roman"/>
                <w:szCs w:val="21"/>
              </w:rPr>
            </w:pPr>
            <w:r>
              <w:rPr>
                <w:rFonts w:ascii="Times New Roman" w:hAnsi="Times New Roman" w:cs="Times New Roman"/>
                <w:szCs w:val="21"/>
              </w:rPr>
              <w:t>退化草原面积占比</w:t>
            </w:r>
          </w:p>
        </w:tc>
        <w:tc>
          <w:tcPr>
            <w:tcW w:w="505" w:type="dxa"/>
            <w:vAlign w:val="center"/>
          </w:tcPr>
          <w:p w14:paraId="08FC9660">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40BDEE90">
            <w:pPr>
              <w:jc w:val="center"/>
              <w:rPr>
                <w:rFonts w:ascii="Times New Roman" w:hAnsi="Times New Roman" w:cs="Times New Roman"/>
                <w:szCs w:val="21"/>
              </w:rPr>
            </w:pPr>
            <w:r>
              <w:rPr>
                <w:rFonts w:ascii="Times New Roman" w:hAnsi="Times New Roman" w:cs="Times New Roman"/>
                <w:szCs w:val="21"/>
              </w:rPr>
              <w:t>46.33</w:t>
            </w:r>
          </w:p>
          <w:p w14:paraId="60F28D7B">
            <w:pPr>
              <w:jc w:val="center"/>
              <w:rPr>
                <w:rFonts w:ascii="Times New Roman" w:hAnsi="Times New Roman" w:cs="Times New Roman"/>
                <w:szCs w:val="21"/>
              </w:rPr>
            </w:pPr>
            <w:r>
              <w:rPr>
                <w:rFonts w:ascii="Times New Roman" w:hAnsi="Times New Roman" w:cs="Times New Roman"/>
                <w:szCs w:val="21"/>
              </w:rPr>
              <w:t>（2024年林草综合监测数据）</w:t>
            </w:r>
          </w:p>
        </w:tc>
        <w:tc>
          <w:tcPr>
            <w:tcW w:w="1296" w:type="dxa"/>
            <w:vAlign w:val="center"/>
          </w:tcPr>
          <w:p w14:paraId="76577DBF">
            <w:pPr>
              <w:jc w:val="center"/>
              <w:rPr>
                <w:rFonts w:ascii="Times New Roman" w:hAnsi="Times New Roman" w:cs="Times New Roman"/>
                <w:szCs w:val="21"/>
              </w:rPr>
            </w:pPr>
            <w:r>
              <w:rPr>
                <w:rFonts w:ascii="Times New Roman" w:hAnsi="Times New Roman" w:cs="Times New Roman"/>
                <w:b/>
                <w:bCs/>
                <w:szCs w:val="21"/>
              </w:rPr>
              <w:t>/</w:t>
            </w:r>
          </w:p>
        </w:tc>
        <w:tc>
          <w:tcPr>
            <w:tcW w:w="1296" w:type="dxa"/>
            <w:vAlign w:val="center"/>
          </w:tcPr>
          <w:p w14:paraId="0836A377">
            <w:pPr>
              <w:jc w:val="center"/>
              <w:rPr>
                <w:rFonts w:ascii="Times New Roman" w:hAnsi="Times New Roman" w:cs="Times New Roman"/>
                <w:szCs w:val="21"/>
              </w:rPr>
            </w:pPr>
            <w:r>
              <w:rPr>
                <w:rFonts w:ascii="Times New Roman" w:hAnsi="Times New Roman" w:cs="Times New Roman"/>
                <w:szCs w:val="21"/>
              </w:rPr>
              <w:t>15</w:t>
            </w:r>
          </w:p>
        </w:tc>
        <w:tc>
          <w:tcPr>
            <w:tcW w:w="583" w:type="dxa"/>
            <w:vAlign w:val="center"/>
          </w:tcPr>
          <w:p w14:paraId="40993494">
            <w:pPr>
              <w:jc w:val="center"/>
              <w:rPr>
                <w:rFonts w:ascii="Times New Roman" w:hAnsi="Times New Roman" w:cs="Times New Roman"/>
                <w:szCs w:val="21"/>
              </w:rPr>
            </w:pPr>
            <w:r>
              <w:rPr>
                <w:rFonts w:ascii="Times New Roman" w:hAnsi="Times New Roman" w:cs="Times New Roman"/>
                <w:szCs w:val="21"/>
              </w:rPr>
              <w:t>约束性</w:t>
            </w:r>
          </w:p>
        </w:tc>
        <w:tc>
          <w:tcPr>
            <w:tcW w:w="1857" w:type="dxa"/>
            <w:vAlign w:val="center"/>
          </w:tcPr>
          <w:p w14:paraId="56E2B48B">
            <w:pPr>
              <w:jc w:val="center"/>
              <w:rPr>
                <w:rFonts w:ascii="Times New Roman" w:hAnsi="Times New Roman" w:cs="Times New Roman"/>
                <w:szCs w:val="21"/>
              </w:rPr>
            </w:pPr>
            <w:r>
              <w:rPr>
                <w:rFonts w:hint="eastAsia" w:ascii="Times New Roman" w:hAnsi="Times New Roman" w:cs="Times New Roman"/>
                <w:szCs w:val="21"/>
              </w:rPr>
              <w:t>西藏自治区人民政府办公厅关于加强草原保护修复的实施意见，2025年控制在25%，2035年控制在15%</w:t>
            </w:r>
          </w:p>
        </w:tc>
      </w:tr>
      <w:tr w14:paraId="6FB54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222BD967">
            <w:pPr>
              <w:jc w:val="center"/>
              <w:rPr>
                <w:rFonts w:ascii="Times New Roman" w:hAnsi="Times New Roman" w:cs="Times New Roman"/>
                <w:szCs w:val="21"/>
              </w:rPr>
            </w:pPr>
            <w:r>
              <w:rPr>
                <w:rFonts w:ascii="Times New Roman" w:hAnsi="Times New Roman" w:cs="Times New Roman"/>
                <w:szCs w:val="21"/>
              </w:rPr>
              <w:t>6</w:t>
            </w:r>
          </w:p>
        </w:tc>
        <w:tc>
          <w:tcPr>
            <w:tcW w:w="1544" w:type="dxa"/>
            <w:vAlign w:val="center"/>
          </w:tcPr>
          <w:p w14:paraId="529FDC74">
            <w:pPr>
              <w:jc w:val="center"/>
              <w:rPr>
                <w:rFonts w:ascii="Times New Roman" w:hAnsi="Times New Roman" w:cs="Times New Roman"/>
                <w:szCs w:val="21"/>
              </w:rPr>
            </w:pPr>
            <w:r>
              <w:rPr>
                <w:rFonts w:ascii="Times New Roman" w:hAnsi="Times New Roman" w:cs="Times New Roman"/>
                <w:szCs w:val="21"/>
              </w:rPr>
              <w:t>草畜平衡面积</w:t>
            </w:r>
          </w:p>
        </w:tc>
        <w:tc>
          <w:tcPr>
            <w:tcW w:w="505" w:type="dxa"/>
            <w:vAlign w:val="center"/>
          </w:tcPr>
          <w:p w14:paraId="6CFA958C">
            <w:pPr>
              <w:jc w:val="center"/>
              <w:rPr>
                <w:rFonts w:ascii="Times New Roman" w:hAnsi="Times New Roman" w:cs="Times New Roman"/>
                <w:szCs w:val="21"/>
              </w:rPr>
            </w:pPr>
            <w:r>
              <w:rPr>
                <w:rFonts w:ascii="Times New Roman" w:hAnsi="Times New Roman" w:cs="Times New Roman"/>
                <w:szCs w:val="21"/>
              </w:rPr>
              <w:t>万亩</w:t>
            </w:r>
          </w:p>
        </w:tc>
        <w:tc>
          <w:tcPr>
            <w:tcW w:w="1580" w:type="dxa"/>
            <w:vAlign w:val="center"/>
          </w:tcPr>
          <w:p w14:paraId="35C71A4C">
            <w:pPr>
              <w:jc w:val="center"/>
              <w:rPr>
                <w:rFonts w:ascii="Times New Roman" w:hAnsi="Times New Roman" w:cs="Times New Roman"/>
                <w:szCs w:val="21"/>
              </w:rPr>
            </w:pPr>
            <w:r>
              <w:rPr>
                <w:rFonts w:ascii="Times New Roman" w:hAnsi="Times New Roman" w:cs="Times New Roman"/>
                <w:szCs w:val="21"/>
              </w:rPr>
              <w:t>6860.70</w:t>
            </w:r>
          </w:p>
        </w:tc>
        <w:tc>
          <w:tcPr>
            <w:tcW w:w="1296" w:type="dxa"/>
            <w:vAlign w:val="center"/>
          </w:tcPr>
          <w:p w14:paraId="6A535EE7">
            <w:pPr>
              <w:jc w:val="center"/>
              <w:rPr>
                <w:rFonts w:ascii="Times New Roman" w:hAnsi="Times New Roman" w:cs="Times New Roman"/>
                <w:szCs w:val="21"/>
              </w:rPr>
            </w:pPr>
            <w:r>
              <w:rPr>
                <w:rFonts w:ascii="Times New Roman" w:hAnsi="Times New Roman" w:cs="Times New Roman"/>
                <w:szCs w:val="21"/>
              </w:rPr>
              <w:t>6860.70</w:t>
            </w:r>
          </w:p>
        </w:tc>
        <w:tc>
          <w:tcPr>
            <w:tcW w:w="1296" w:type="dxa"/>
            <w:vAlign w:val="center"/>
          </w:tcPr>
          <w:p w14:paraId="722E5D0D">
            <w:pPr>
              <w:jc w:val="center"/>
              <w:rPr>
                <w:rFonts w:ascii="Times New Roman" w:hAnsi="Times New Roman" w:cs="Times New Roman"/>
                <w:szCs w:val="21"/>
              </w:rPr>
            </w:pPr>
            <w:r>
              <w:rPr>
                <w:rFonts w:ascii="Times New Roman" w:hAnsi="Times New Roman" w:cs="Times New Roman"/>
                <w:szCs w:val="21"/>
              </w:rPr>
              <w:t>6860.70</w:t>
            </w:r>
          </w:p>
        </w:tc>
        <w:tc>
          <w:tcPr>
            <w:tcW w:w="583" w:type="dxa"/>
            <w:vAlign w:val="center"/>
          </w:tcPr>
          <w:p w14:paraId="2222DE5E">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76F4F164">
            <w:pPr>
              <w:jc w:val="center"/>
              <w:rPr>
                <w:rFonts w:ascii="Times New Roman" w:hAnsi="Times New Roman" w:cs="Times New Roman"/>
                <w:szCs w:val="21"/>
              </w:rPr>
            </w:pPr>
          </w:p>
        </w:tc>
      </w:tr>
      <w:tr w14:paraId="6A7EE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76B5AB61">
            <w:pPr>
              <w:jc w:val="center"/>
              <w:rPr>
                <w:rFonts w:ascii="Times New Roman" w:hAnsi="Times New Roman" w:cs="Times New Roman"/>
                <w:szCs w:val="21"/>
              </w:rPr>
            </w:pPr>
            <w:r>
              <w:rPr>
                <w:rFonts w:ascii="Times New Roman" w:hAnsi="Times New Roman" w:cs="Times New Roman"/>
                <w:szCs w:val="21"/>
              </w:rPr>
              <w:t>7</w:t>
            </w:r>
          </w:p>
        </w:tc>
        <w:tc>
          <w:tcPr>
            <w:tcW w:w="1544" w:type="dxa"/>
            <w:vAlign w:val="center"/>
          </w:tcPr>
          <w:p w14:paraId="79E624FD">
            <w:pPr>
              <w:jc w:val="center"/>
              <w:rPr>
                <w:rFonts w:ascii="Times New Roman" w:hAnsi="Times New Roman" w:cs="Times New Roman"/>
                <w:szCs w:val="21"/>
              </w:rPr>
            </w:pPr>
            <w:r>
              <w:rPr>
                <w:rFonts w:ascii="Times New Roman" w:hAnsi="Times New Roman" w:cs="Times New Roman"/>
                <w:szCs w:val="21"/>
              </w:rPr>
              <w:t>有害生物成灾率</w:t>
            </w:r>
          </w:p>
        </w:tc>
        <w:tc>
          <w:tcPr>
            <w:tcW w:w="505" w:type="dxa"/>
            <w:vAlign w:val="center"/>
          </w:tcPr>
          <w:p w14:paraId="0D63DC9F">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389E43B3">
            <w:pPr>
              <w:jc w:val="center"/>
              <w:rPr>
                <w:rFonts w:ascii="Times New Roman" w:hAnsi="Times New Roman" w:cs="Times New Roman"/>
                <w:szCs w:val="21"/>
              </w:rPr>
            </w:pPr>
            <w:r>
              <w:rPr>
                <w:rFonts w:ascii="Times New Roman" w:hAnsi="Times New Roman" w:cs="Times New Roman"/>
                <w:szCs w:val="21"/>
              </w:rPr>
              <w:t>2.46</w:t>
            </w:r>
          </w:p>
        </w:tc>
        <w:tc>
          <w:tcPr>
            <w:tcW w:w="1296" w:type="dxa"/>
            <w:vAlign w:val="center"/>
          </w:tcPr>
          <w:p w14:paraId="6D9354BE">
            <w:pPr>
              <w:jc w:val="center"/>
              <w:rPr>
                <w:rFonts w:ascii="Times New Roman" w:hAnsi="Times New Roman" w:cs="Times New Roman"/>
                <w:szCs w:val="21"/>
              </w:rPr>
            </w:pPr>
            <w:r>
              <w:rPr>
                <w:rFonts w:ascii="Times New Roman" w:hAnsi="Times New Roman" w:eastAsia="宋体" w:cs="Times New Roman"/>
                <w:kern w:val="0"/>
                <w:szCs w:val="21"/>
              </w:rPr>
              <w:t>≤10.8</w:t>
            </w:r>
          </w:p>
        </w:tc>
        <w:tc>
          <w:tcPr>
            <w:tcW w:w="1296" w:type="dxa"/>
            <w:vAlign w:val="center"/>
          </w:tcPr>
          <w:p w14:paraId="6C9039D0">
            <w:pPr>
              <w:jc w:val="center"/>
              <w:rPr>
                <w:rFonts w:ascii="Times New Roman" w:hAnsi="Times New Roman" w:eastAsia="宋体" w:cs="Times New Roman"/>
                <w:kern w:val="0"/>
                <w:szCs w:val="21"/>
              </w:rPr>
            </w:pPr>
            <w:r>
              <w:rPr>
                <w:rFonts w:ascii="Times New Roman" w:hAnsi="Times New Roman" w:eastAsia="宋体" w:cs="Times New Roman"/>
                <w:kern w:val="0"/>
                <w:szCs w:val="21"/>
              </w:rPr>
              <w:t>≤10.8</w:t>
            </w:r>
          </w:p>
        </w:tc>
        <w:tc>
          <w:tcPr>
            <w:tcW w:w="583" w:type="dxa"/>
            <w:vAlign w:val="center"/>
          </w:tcPr>
          <w:p w14:paraId="2C5CA34C">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3E3E9D11">
            <w:pPr>
              <w:jc w:val="center"/>
              <w:rPr>
                <w:rFonts w:ascii="Times New Roman" w:hAnsi="Times New Roman" w:cs="Times New Roman"/>
                <w:szCs w:val="21"/>
              </w:rPr>
            </w:pPr>
          </w:p>
        </w:tc>
      </w:tr>
      <w:tr w14:paraId="4A02E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Align w:val="center"/>
          </w:tcPr>
          <w:p w14:paraId="57D450D7">
            <w:pPr>
              <w:jc w:val="center"/>
              <w:rPr>
                <w:rFonts w:ascii="Times New Roman" w:hAnsi="Times New Roman" w:cs="Times New Roman"/>
                <w:szCs w:val="21"/>
              </w:rPr>
            </w:pPr>
            <w:r>
              <w:rPr>
                <w:rFonts w:ascii="Times New Roman" w:hAnsi="Times New Roman" w:cs="Times New Roman"/>
                <w:szCs w:val="21"/>
              </w:rPr>
              <w:t>8</w:t>
            </w:r>
          </w:p>
        </w:tc>
        <w:tc>
          <w:tcPr>
            <w:tcW w:w="1544" w:type="dxa"/>
            <w:vAlign w:val="center"/>
          </w:tcPr>
          <w:p w14:paraId="1A377F0F">
            <w:pPr>
              <w:jc w:val="center"/>
              <w:rPr>
                <w:rFonts w:ascii="Times New Roman" w:hAnsi="Times New Roman" w:cs="Times New Roman"/>
                <w:szCs w:val="21"/>
              </w:rPr>
            </w:pPr>
            <w:r>
              <w:rPr>
                <w:rFonts w:ascii="Times New Roman" w:hAnsi="Times New Roman" w:cs="Times New Roman"/>
                <w:szCs w:val="21"/>
              </w:rPr>
              <w:t>草原火灾受害率</w:t>
            </w:r>
          </w:p>
        </w:tc>
        <w:tc>
          <w:tcPr>
            <w:tcW w:w="505" w:type="dxa"/>
            <w:vAlign w:val="center"/>
          </w:tcPr>
          <w:p w14:paraId="78275332">
            <w:pPr>
              <w:jc w:val="center"/>
              <w:rPr>
                <w:rFonts w:ascii="Times New Roman" w:hAnsi="Times New Roman" w:cs="Times New Roman"/>
                <w:szCs w:val="21"/>
              </w:rPr>
            </w:pPr>
            <w:r>
              <w:rPr>
                <w:rFonts w:ascii="Times New Roman" w:hAnsi="Times New Roman" w:cs="Times New Roman"/>
                <w:szCs w:val="21"/>
              </w:rPr>
              <w:t>‰</w:t>
            </w:r>
          </w:p>
        </w:tc>
        <w:tc>
          <w:tcPr>
            <w:tcW w:w="1580" w:type="dxa"/>
            <w:vAlign w:val="center"/>
          </w:tcPr>
          <w:p w14:paraId="6CC1CC8B">
            <w:pPr>
              <w:jc w:val="center"/>
              <w:rPr>
                <w:rFonts w:ascii="Times New Roman" w:hAnsi="Times New Roman" w:cs="Times New Roman"/>
                <w:szCs w:val="21"/>
              </w:rPr>
            </w:pPr>
            <w:r>
              <w:rPr>
                <w:rFonts w:ascii="Times New Roman" w:hAnsi="Times New Roman" w:cs="Times New Roman"/>
                <w:szCs w:val="21"/>
              </w:rPr>
              <w:t>1</w:t>
            </w:r>
          </w:p>
        </w:tc>
        <w:tc>
          <w:tcPr>
            <w:tcW w:w="1296" w:type="dxa"/>
            <w:vAlign w:val="center"/>
          </w:tcPr>
          <w:p w14:paraId="44B0EABB">
            <w:pPr>
              <w:jc w:val="center"/>
              <w:rPr>
                <w:rFonts w:ascii="Times New Roman" w:hAnsi="Times New Roman" w:cs="Times New Roman"/>
                <w:szCs w:val="21"/>
              </w:rPr>
            </w:pPr>
            <w:r>
              <w:rPr>
                <w:rFonts w:ascii="Times New Roman" w:hAnsi="Times New Roman" w:eastAsia="宋体" w:cs="Times New Roman"/>
                <w:kern w:val="0"/>
                <w:szCs w:val="21"/>
              </w:rPr>
              <w:t>≤2</w:t>
            </w:r>
          </w:p>
        </w:tc>
        <w:tc>
          <w:tcPr>
            <w:tcW w:w="1296" w:type="dxa"/>
            <w:vAlign w:val="center"/>
          </w:tcPr>
          <w:p w14:paraId="740BC05B">
            <w:pPr>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583" w:type="dxa"/>
            <w:vAlign w:val="center"/>
          </w:tcPr>
          <w:p w14:paraId="5A0B3068">
            <w:pPr>
              <w:jc w:val="center"/>
              <w:rPr>
                <w:rFonts w:ascii="Times New Roman" w:hAnsi="Times New Roman" w:cs="Times New Roman"/>
                <w:szCs w:val="21"/>
              </w:rPr>
            </w:pPr>
            <w:r>
              <w:rPr>
                <w:rFonts w:ascii="Times New Roman" w:hAnsi="Times New Roman" w:cs="Times New Roman"/>
                <w:szCs w:val="21"/>
              </w:rPr>
              <w:t>预期性</w:t>
            </w:r>
          </w:p>
        </w:tc>
        <w:tc>
          <w:tcPr>
            <w:tcW w:w="1857" w:type="dxa"/>
            <w:vAlign w:val="center"/>
          </w:tcPr>
          <w:p w14:paraId="2F103E04">
            <w:pPr>
              <w:jc w:val="center"/>
              <w:rPr>
                <w:rFonts w:ascii="Times New Roman" w:hAnsi="Times New Roman" w:cs="Times New Roman"/>
                <w:szCs w:val="21"/>
              </w:rPr>
            </w:pPr>
          </w:p>
        </w:tc>
      </w:tr>
      <w:tr w14:paraId="3EEAB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06" w:type="dxa"/>
            <w:vAlign w:val="center"/>
          </w:tcPr>
          <w:p w14:paraId="5EAD26AA">
            <w:pPr>
              <w:jc w:val="center"/>
              <w:rPr>
                <w:rFonts w:hint="eastAsia" w:ascii="Times New Roman" w:hAnsi="Times New Roman" w:cs="Times New Roman" w:eastAsiaTheme="minorEastAsia"/>
                <w:szCs w:val="21"/>
                <w:lang w:eastAsia="zh-CN"/>
              </w:rPr>
            </w:pPr>
            <w:r>
              <w:rPr>
                <w:rFonts w:hint="eastAsia" w:ascii="Times New Roman" w:hAnsi="Times New Roman" w:cs="Times New Roman"/>
                <w:szCs w:val="21"/>
                <w:lang w:val="en-US" w:eastAsia="zh-CN"/>
              </w:rPr>
              <w:t>9</w:t>
            </w:r>
          </w:p>
        </w:tc>
        <w:tc>
          <w:tcPr>
            <w:tcW w:w="1544" w:type="dxa"/>
            <w:vAlign w:val="center"/>
          </w:tcPr>
          <w:p w14:paraId="6171C901">
            <w:pPr>
              <w:jc w:val="center"/>
              <w:rPr>
                <w:rFonts w:ascii="Times New Roman" w:hAnsi="Times New Roman" w:cs="Times New Roman"/>
                <w:bCs/>
                <w:szCs w:val="21"/>
              </w:rPr>
            </w:pPr>
            <w:r>
              <w:rPr>
                <w:rFonts w:ascii="Times New Roman" w:hAnsi="Times New Roman" w:cs="Times New Roman"/>
                <w:bCs/>
                <w:szCs w:val="21"/>
              </w:rPr>
              <w:t>草种原种基地</w:t>
            </w:r>
          </w:p>
        </w:tc>
        <w:tc>
          <w:tcPr>
            <w:tcW w:w="505" w:type="dxa"/>
            <w:vAlign w:val="center"/>
          </w:tcPr>
          <w:p w14:paraId="1FB97313">
            <w:pPr>
              <w:jc w:val="center"/>
              <w:rPr>
                <w:rFonts w:ascii="Times New Roman" w:hAnsi="Times New Roman" w:cs="Times New Roman"/>
                <w:szCs w:val="21"/>
              </w:rPr>
            </w:pPr>
            <w:r>
              <w:rPr>
                <w:rFonts w:ascii="Times New Roman" w:hAnsi="Times New Roman" w:cs="Times New Roman"/>
                <w:szCs w:val="21"/>
              </w:rPr>
              <w:t>个</w:t>
            </w:r>
          </w:p>
        </w:tc>
        <w:tc>
          <w:tcPr>
            <w:tcW w:w="1580" w:type="dxa"/>
            <w:vAlign w:val="center"/>
          </w:tcPr>
          <w:p w14:paraId="40672A84">
            <w:pPr>
              <w:jc w:val="center"/>
              <w:rPr>
                <w:rFonts w:ascii="Times New Roman" w:hAnsi="Times New Roman" w:cs="Times New Roman"/>
                <w:szCs w:val="21"/>
              </w:rPr>
            </w:pPr>
            <w:r>
              <w:rPr>
                <w:rFonts w:ascii="Times New Roman" w:hAnsi="Times New Roman" w:cs="Times New Roman"/>
                <w:szCs w:val="21"/>
              </w:rPr>
              <w:t>无</w:t>
            </w:r>
          </w:p>
        </w:tc>
        <w:tc>
          <w:tcPr>
            <w:tcW w:w="1296" w:type="dxa"/>
            <w:vAlign w:val="center"/>
          </w:tcPr>
          <w:p w14:paraId="7AD72947">
            <w:pPr>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296" w:type="dxa"/>
            <w:vAlign w:val="center"/>
          </w:tcPr>
          <w:p w14:paraId="4385436D">
            <w:pPr>
              <w:jc w:val="center"/>
              <w:rPr>
                <w:rFonts w:ascii="Times New Roman" w:hAnsi="Times New Roman" w:eastAsia="宋体" w:cs="Times New Roman"/>
                <w:kern w:val="0"/>
                <w:szCs w:val="21"/>
              </w:rPr>
            </w:pPr>
          </w:p>
        </w:tc>
        <w:tc>
          <w:tcPr>
            <w:tcW w:w="583" w:type="dxa"/>
            <w:vAlign w:val="center"/>
          </w:tcPr>
          <w:p w14:paraId="563B2593">
            <w:pPr>
              <w:jc w:val="center"/>
              <w:rPr>
                <w:rFonts w:ascii="Times New Roman" w:hAnsi="Times New Roman" w:cs="Times New Roman"/>
                <w:szCs w:val="21"/>
              </w:rPr>
            </w:pPr>
            <w:r>
              <w:rPr>
                <w:rFonts w:ascii="Times New Roman" w:hAnsi="Times New Roman" w:cs="Times New Roman"/>
                <w:szCs w:val="21"/>
              </w:rPr>
              <w:t>预期性</w:t>
            </w:r>
          </w:p>
        </w:tc>
        <w:tc>
          <w:tcPr>
            <w:tcW w:w="1857" w:type="dxa"/>
            <w:vMerge w:val="restart"/>
            <w:vAlign w:val="center"/>
          </w:tcPr>
          <w:p w14:paraId="47074EED">
            <w:pPr>
              <w:pStyle w:val="8"/>
            </w:pPr>
            <w:r>
              <w:rPr>
                <w:rFonts w:hint="eastAsia"/>
              </w:rPr>
              <w:t>昌都市“十五五”林业草原保护</w:t>
            </w:r>
          </w:p>
          <w:p w14:paraId="257EF810">
            <w:pPr>
              <w:jc w:val="center"/>
              <w:rPr>
                <w:rFonts w:ascii="Times New Roman" w:hAnsi="Times New Roman" w:cs="Times New Roman"/>
                <w:szCs w:val="21"/>
              </w:rPr>
            </w:pPr>
            <w:r>
              <w:rPr>
                <w:rFonts w:hint="eastAsia"/>
              </w:rPr>
              <w:t>发展规划（初稿）</w:t>
            </w:r>
          </w:p>
        </w:tc>
      </w:tr>
      <w:tr w14:paraId="136B8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06" w:type="dxa"/>
            <w:vAlign w:val="center"/>
          </w:tcPr>
          <w:p w14:paraId="6344A3E5">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10</w:t>
            </w:r>
          </w:p>
        </w:tc>
        <w:tc>
          <w:tcPr>
            <w:tcW w:w="1544" w:type="dxa"/>
            <w:vAlign w:val="center"/>
          </w:tcPr>
          <w:p w14:paraId="772FBDE5">
            <w:pPr>
              <w:jc w:val="center"/>
              <w:rPr>
                <w:rFonts w:ascii="Times New Roman" w:hAnsi="Times New Roman" w:cs="Times New Roman"/>
                <w:bCs/>
                <w:szCs w:val="21"/>
              </w:rPr>
            </w:pPr>
            <w:r>
              <w:rPr>
                <w:rFonts w:ascii="Times New Roman" w:hAnsi="Times New Roman" w:cs="Times New Roman"/>
                <w:bCs/>
                <w:szCs w:val="21"/>
              </w:rPr>
              <w:t>草种生产基地</w:t>
            </w:r>
          </w:p>
        </w:tc>
        <w:tc>
          <w:tcPr>
            <w:tcW w:w="505" w:type="dxa"/>
            <w:vAlign w:val="center"/>
          </w:tcPr>
          <w:p w14:paraId="4352B653">
            <w:pPr>
              <w:jc w:val="center"/>
              <w:rPr>
                <w:rFonts w:ascii="Times New Roman" w:hAnsi="Times New Roman" w:cs="Times New Roman"/>
                <w:szCs w:val="21"/>
              </w:rPr>
            </w:pPr>
            <w:r>
              <w:rPr>
                <w:rFonts w:ascii="Times New Roman" w:hAnsi="Times New Roman" w:cs="Times New Roman"/>
                <w:szCs w:val="21"/>
              </w:rPr>
              <w:t>个</w:t>
            </w:r>
          </w:p>
        </w:tc>
        <w:tc>
          <w:tcPr>
            <w:tcW w:w="1580" w:type="dxa"/>
            <w:vAlign w:val="center"/>
          </w:tcPr>
          <w:p w14:paraId="758DBFFE">
            <w:pPr>
              <w:jc w:val="center"/>
              <w:rPr>
                <w:rFonts w:ascii="Times New Roman" w:hAnsi="Times New Roman" w:cs="Times New Roman"/>
                <w:szCs w:val="21"/>
              </w:rPr>
            </w:pPr>
            <w:r>
              <w:rPr>
                <w:rFonts w:ascii="Times New Roman" w:hAnsi="Times New Roman" w:cs="Times New Roman"/>
                <w:szCs w:val="21"/>
              </w:rPr>
              <w:t>无</w:t>
            </w:r>
          </w:p>
        </w:tc>
        <w:tc>
          <w:tcPr>
            <w:tcW w:w="1296" w:type="dxa"/>
            <w:vAlign w:val="center"/>
          </w:tcPr>
          <w:p w14:paraId="15DE37BA">
            <w:pPr>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296" w:type="dxa"/>
            <w:vAlign w:val="center"/>
          </w:tcPr>
          <w:p w14:paraId="414DE2E3">
            <w:pPr>
              <w:jc w:val="center"/>
              <w:rPr>
                <w:rFonts w:ascii="Times New Roman" w:hAnsi="Times New Roman" w:eastAsia="宋体" w:cs="Times New Roman"/>
                <w:kern w:val="0"/>
                <w:szCs w:val="21"/>
              </w:rPr>
            </w:pPr>
          </w:p>
        </w:tc>
        <w:tc>
          <w:tcPr>
            <w:tcW w:w="583" w:type="dxa"/>
            <w:vAlign w:val="center"/>
          </w:tcPr>
          <w:p w14:paraId="346B76F5">
            <w:pPr>
              <w:jc w:val="center"/>
              <w:rPr>
                <w:rFonts w:ascii="Times New Roman" w:hAnsi="Times New Roman" w:cs="Times New Roman"/>
                <w:szCs w:val="21"/>
              </w:rPr>
            </w:pPr>
            <w:r>
              <w:rPr>
                <w:rFonts w:ascii="Times New Roman" w:hAnsi="Times New Roman" w:cs="Times New Roman"/>
                <w:szCs w:val="21"/>
              </w:rPr>
              <w:t>预期性</w:t>
            </w:r>
          </w:p>
        </w:tc>
        <w:tc>
          <w:tcPr>
            <w:tcW w:w="1857" w:type="dxa"/>
            <w:vMerge w:val="continue"/>
            <w:vAlign w:val="center"/>
          </w:tcPr>
          <w:p w14:paraId="64641A68">
            <w:pPr>
              <w:jc w:val="center"/>
              <w:rPr>
                <w:rFonts w:ascii="Times New Roman" w:hAnsi="Times New Roman" w:cs="Times New Roman"/>
                <w:szCs w:val="21"/>
              </w:rPr>
            </w:pPr>
          </w:p>
        </w:tc>
      </w:tr>
    </w:tbl>
    <w:p w14:paraId="3D2F4B95"/>
    <w:p w14:paraId="5B02B992">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69" w:name="_Toc21575"/>
      <w:r>
        <w:rPr>
          <w:rStyle w:val="28"/>
          <w:rFonts w:hint="default" w:ascii="Times New Roman"/>
          <w:color w:val="auto"/>
          <w:kern w:val="2"/>
          <w:sz w:val="32"/>
          <w:szCs w:val="32"/>
          <w:u w:val="none"/>
        </w:rPr>
        <w:t>规划衔接</w:t>
      </w:r>
      <w:bookmarkEnd w:id="69"/>
    </w:p>
    <w:p w14:paraId="646167CB">
      <w:pPr>
        <w:pStyle w:val="4"/>
        <w:numPr>
          <w:ilvl w:val="2"/>
          <w:numId w:val="2"/>
        </w:numPr>
        <w:spacing w:before="120" w:after="120" w:line="360" w:lineRule="auto"/>
        <w:rPr>
          <w:rStyle w:val="28"/>
          <w:color w:val="auto"/>
          <w:sz w:val="28"/>
          <w:szCs w:val="28"/>
          <w:u w:val="none"/>
        </w:rPr>
      </w:pPr>
      <w:bookmarkStart w:id="70" w:name="_Toc3138"/>
      <w:r>
        <w:rPr>
          <w:rStyle w:val="28"/>
          <w:rFonts w:hint="eastAsia"/>
          <w:color w:val="auto"/>
          <w:sz w:val="28"/>
          <w:szCs w:val="28"/>
          <w:u w:val="none"/>
        </w:rPr>
        <w:t>与</w:t>
      </w:r>
      <w:r>
        <w:rPr>
          <w:rStyle w:val="28"/>
          <w:color w:val="auto"/>
          <w:sz w:val="28"/>
          <w:szCs w:val="28"/>
          <w:u w:val="none"/>
        </w:rPr>
        <w:t>国土空间规划衔接</w:t>
      </w:r>
      <w:bookmarkEnd w:id="70"/>
    </w:p>
    <w:p w14:paraId="0E4701D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在《西藏自治区国土空间规划（</w:t>
      </w:r>
      <w:r>
        <w:rPr>
          <w:rStyle w:val="27"/>
          <w:rFonts w:ascii="Times New Roman" w:hAnsi="Times New Roman"/>
          <w:b w:val="0"/>
          <w:bCs/>
          <w:sz w:val="24"/>
          <w:szCs w:val="24"/>
          <w:shd w:val="clear" w:color="auto" w:fill="FFFFFF"/>
        </w:rPr>
        <w:t>2025</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2035</w:t>
      </w:r>
      <w:r>
        <w:rPr>
          <w:rStyle w:val="27"/>
          <w:rFonts w:hint="eastAsia" w:ascii="Times New Roman" w:hAnsi="Times New Roman"/>
          <w:b w:val="0"/>
          <w:bCs/>
          <w:sz w:val="24"/>
          <w:szCs w:val="24"/>
          <w:shd w:val="clear" w:color="auto" w:fill="FFFFFF"/>
        </w:rPr>
        <w:t>年）》中，将“加强牧草地保护与治理”作为重要内容，提出“科学划定基本草原，确保面积不减少、质量不下降、用途不改变。建立沙化土地封禁保护区，治理退化草原。对草地面积总量进行管控，明确草原综合植被覆盖率、沙化和荒漠化等指标管控要求”。</w:t>
      </w:r>
    </w:p>
    <w:p w14:paraId="3B3A2E0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在《昌都市国土空间规划（2021—2035年）》中，“科学保护与利用各类生态资源要素”将草地资源保护与利用放在首要位置，提出“科学保护与有序开发草地资源。建立健全草地分级保护管理体系和奖补机制。已划入自然保护地及生态保护红线范围内的草原，严格按照相关管控要求进行保护；建立草地健康评价体系，监测和控制草地利用；对不同区域的草地实行差别化补助，提高奖补鼓励效能；提高牧民环保意识，社区和牧民共同协商草场管理，兼顾当地经济发展和草原有效保护”。</w:t>
      </w:r>
    </w:p>
    <w:p w14:paraId="07ECAAB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昌都市国土空间规划（2021—2035年）》提出了“三屏、三廊、一圈、三翼”的国土空间总体格局。其中，“三屏”是指三处综合生态屏障，即依托伯舒拉岭的西部综合生态屏障，依托他念他翁山的中部综合生态屏障，依托达玛拉山</w:t>
      </w:r>
      <w:r>
        <w:rPr>
          <w:rStyle w:val="27"/>
          <w:rFonts w:ascii="Times New Roman" w:hAnsi="Times New Roman"/>
          <w:b w:val="0"/>
          <w:bCs/>
          <w:sz w:val="24"/>
          <w:szCs w:val="24"/>
          <w:shd w:val="clear" w:color="auto" w:fill="FFFFFF"/>
        </w:rPr>
        <w:t>−</w:t>
      </w:r>
      <w:r>
        <w:rPr>
          <w:rStyle w:val="27"/>
          <w:rFonts w:hint="eastAsia" w:ascii="Times New Roman" w:hAnsi="Times New Roman"/>
          <w:b w:val="0"/>
          <w:bCs/>
          <w:sz w:val="24"/>
          <w:szCs w:val="24"/>
          <w:shd w:val="clear" w:color="auto" w:fill="FFFFFF"/>
        </w:rPr>
        <w:t>宁静山的东部综合生态屏障。“三廊”是指三条人与自然和谐共生走廊，即金沙江生态空间廊道、澜沧江生态空间廊道、怒江生态空间廊道。“一圈”是指以中心城区为核心，与类乌齐县、察雅县协同发展的“1小时”经济圈。“三翼”是指：东能源，以市域东部江达、贡觉、芒康为主体协同发展清洁能源产业，打造藏东清洁能源基地核心区；南文旅，推动市域南部八宿、芒康、左贡联动建设茶马古道和G214精品旅游廊道，打造藏东文旅康养示范区；西粮仓，整合西部洛隆、边坝、丁青优势资源，加快现代农牧业示范区、高原特色农畜林产品基地建设，着力打造“藏东粮仓”和生态绿色农牧产品供给基地。此外，以国土空间的保护与保留、开发与利用两大功能属性作为规划分区的基本取向，将市域划分生态保护区、生态控制区、城镇发展区、农田保护区、乡村发展区、矿产能源发展区6类一级规划分区。</w:t>
      </w:r>
    </w:p>
    <w:p w14:paraId="7EA5377B">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06800"/>
            <wp:effectExtent l="19050" t="0" r="0" b="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noChangeArrowheads="1"/>
                    </pic:cNvPicPr>
                  </pic:nvPicPr>
                  <pic:blipFill>
                    <a:blip r:embed="rId24" cstate="print"/>
                    <a:srcRect/>
                    <a:stretch>
                      <a:fillRect/>
                    </a:stretch>
                  </pic:blipFill>
                  <pic:spPr>
                    <a:xfrm>
                      <a:off x="0" y="0"/>
                      <a:ext cx="5683885" cy="3607205"/>
                    </a:xfrm>
                    <a:prstGeom prst="rect">
                      <a:avLst/>
                    </a:prstGeom>
                    <a:noFill/>
                    <a:ln w="9525">
                      <a:noFill/>
                      <a:miter lim="800000"/>
                      <a:headEnd/>
                      <a:tailEnd/>
                    </a:ln>
                  </pic:spPr>
                </pic:pic>
              </a:graphicData>
            </a:graphic>
          </wp:inline>
        </w:drawing>
      </w:r>
    </w:p>
    <w:p w14:paraId="11C2081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图4-1市域生态系统保护规划图</w:t>
      </w:r>
    </w:p>
    <w:p w14:paraId="25F90265">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04260"/>
            <wp:effectExtent l="19050" t="0" r="0" b="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noChangeArrowheads="1"/>
                    </pic:cNvPicPr>
                  </pic:nvPicPr>
                  <pic:blipFill>
                    <a:blip r:embed="rId25" cstate="print"/>
                    <a:srcRect/>
                    <a:stretch>
                      <a:fillRect/>
                    </a:stretch>
                  </pic:blipFill>
                  <pic:spPr>
                    <a:xfrm>
                      <a:off x="0" y="0"/>
                      <a:ext cx="5683885" cy="3604348"/>
                    </a:xfrm>
                    <a:prstGeom prst="rect">
                      <a:avLst/>
                    </a:prstGeom>
                    <a:noFill/>
                    <a:ln w="9525">
                      <a:noFill/>
                      <a:miter lim="800000"/>
                      <a:headEnd/>
                      <a:tailEnd/>
                    </a:ln>
                  </pic:spPr>
                </pic:pic>
              </a:graphicData>
            </a:graphic>
          </wp:inline>
        </w:drawing>
      </w:r>
    </w:p>
    <w:p w14:paraId="6FB8B320">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图4-2市域农牧业空间规划图</w:t>
      </w:r>
    </w:p>
    <w:p w14:paraId="485CDFFC">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16960"/>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6" cstate="print"/>
                    <a:srcRect/>
                    <a:stretch>
                      <a:fillRect/>
                    </a:stretch>
                  </pic:blipFill>
                  <pic:spPr>
                    <a:xfrm>
                      <a:off x="0" y="0"/>
                      <a:ext cx="5683885" cy="3617143"/>
                    </a:xfrm>
                    <a:prstGeom prst="rect">
                      <a:avLst/>
                    </a:prstGeom>
                    <a:noFill/>
                    <a:ln w="9525">
                      <a:noFill/>
                      <a:miter lim="800000"/>
                      <a:headEnd/>
                      <a:tailEnd/>
                    </a:ln>
                  </pic:spPr>
                </pic:pic>
              </a:graphicData>
            </a:graphic>
          </wp:inline>
        </w:drawing>
      </w:r>
    </w:p>
    <w:p w14:paraId="6B4F2CD8">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图4-3市域主体功能定位分布图</w:t>
      </w:r>
    </w:p>
    <w:p w14:paraId="20E4F9C6">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16960"/>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7" cstate="print"/>
                    <a:srcRect/>
                    <a:stretch>
                      <a:fillRect/>
                    </a:stretch>
                  </pic:blipFill>
                  <pic:spPr>
                    <a:xfrm>
                      <a:off x="0" y="0"/>
                      <a:ext cx="5683885" cy="3617143"/>
                    </a:xfrm>
                    <a:prstGeom prst="rect">
                      <a:avLst/>
                    </a:prstGeom>
                    <a:noFill/>
                    <a:ln w="9525">
                      <a:noFill/>
                      <a:miter lim="800000"/>
                      <a:headEnd/>
                      <a:tailEnd/>
                    </a:ln>
                  </pic:spPr>
                </pic:pic>
              </a:graphicData>
            </a:graphic>
          </wp:inline>
        </w:drawing>
      </w:r>
    </w:p>
    <w:p w14:paraId="04E9D852">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图4-4市域国土空间总体格局规划图</w:t>
      </w:r>
    </w:p>
    <w:p w14:paraId="1B3FB685">
      <w:pPr>
        <w:spacing w:line="360" w:lineRule="auto"/>
        <w:jc w:val="left"/>
        <w:rPr>
          <w:rStyle w:val="27"/>
          <w:rFonts w:ascii="Times New Roman" w:hAnsi="Times New Roman"/>
          <w:b w:val="0"/>
          <w:bCs/>
          <w:sz w:val="24"/>
          <w:szCs w:val="24"/>
          <w:shd w:val="clear" w:color="auto" w:fill="FFFFFF"/>
        </w:rPr>
      </w:pPr>
      <w:r>
        <w:rPr>
          <w:rFonts w:hint="eastAsia" w:ascii="Times New Roman" w:hAnsi="Times New Roman"/>
          <w:b/>
          <w:bCs/>
          <w:sz w:val="24"/>
          <w:szCs w:val="24"/>
          <w:shd w:val="clear" w:color="auto" w:fill="FFFFFF"/>
        </w:rPr>
        <w:drawing>
          <wp:inline distT="0" distB="0" distL="0" distR="0">
            <wp:extent cx="5683885" cy="3606800"/>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8" cstate="print"/>
                    <a:srcRect/>
                    <a:stretch>
                      <a:fillRect/>
                    </a:stretch>
                  </pic:blipFill>
                  <pic:spPr>
                    <a:xfrm>
                      <a:off x="0" y="0"/>
                      <a:ext cx="5683885" cy="3607205"/>
                    </a:xfrm>
                    <a:prstGeom prst="rect">
                      <a:avLst/>
                    </a:prstGeom>
                    <a:noFill/>
                    <a:ln w="9525">
                      <a:noFill/>
                      <a:miter lim="800000"/>
                      <a:headEnd/>
                      <a:tailEnd/>
                    </a:ln>
                  </pic:spPr>
                </pic:pic>
              </a:graphicData>
            </a:graphic>
          </wp:inline>
        </w:drawing>
      </w:r>
    </w:p>
    <w:p w14:paraId="19C7D3C6">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图4-5市域国土空间规划分区图</w:t>
      </w:r>
    </w:p>
    <w:p w14:paraId="0C5088A9">
      <w:pPr>
        <w:spacing w:line="360" w:lineRule="auto"/>
        <w:ind w:firstLine="480"/>
        <w:rPr>
          <w:rStyle w:val="29"/>
          <w:rFonts w:ascii="Times New Roman" w:hAnsi="Times New Roman" w:cs="Times New Roman"/>
          <w:sz w:val="24"/>
          <w:szCs w:val="24"/>
        </w:rPr>
      </w:pPr>
      <w:r>
        <w:rPr>
          <w:rStyle w:val="27"/>
          <w:rFonts w:ascii="Times New Roman" w:hAnsi="Times New Roman" w:cs="Times New Roman"/>
          <w:b w:val="0"/>
          <w:bCs/>
          <w:sz w:val="24"/>
          <w:szCs w:val="24"/>
          <w:shd w:val="clear" w:color="auto" w:fill="FFFFFF"/>
        </w:rPr>
        <w:t>根据《西藏自治区国土空间规划（2025—2035年）》、《昌都市国土空间规划（2021—2035年）》，结合昌都市草原特色、发展潜力和地方需要，本规划明确以</w:t>
      </w:r>
      <w:r>
        <w:rPr>
          <w:rStyle w:val="29"/>
          <w:rFonts w:ascii="Times New Roman" w:hAnsi="Times New Roman" w:cs="Times New Roman"/>
          <w:sz w:val="24"/>
          <w:szCs w:val="24"/>
        </w:rPr>
        <w:t>保护为主，完善和优化管理体系，以维护草原水源涵养、生物多样性保持和水土保持的重要生态功能为重点，加强退化草原修复力度，恢复草原生态系统功能，提升低质草地，依托主体功能定位、市域生态系统保护规划、农牧业空间规划，合理布局饲草业、草种业、生态旅游等草原产业，积极探索草原生态价值转换，推进草原资源有序利用，依托国土空间总体格局构建草原发展格局体系。</w:t>
      </w:r>
    </w:p>
    <w:p w14:paraId="60AB0934">
      <w:pPr>
        <w:pStyle w:val="4"/>
        <w:numPr>
          <w:ilvl w:val="2"/>
          <w:numId w:val="2"/>
        </w:numPr>
        <w:spacing w:before="120" w:after="120" w:line="360" w:lineRule="auto"/>
        <w:rPr>
          <w:rStyle w:val="28"/>
          <w:color w:val="auto"/>
          <w:sz w:val="28"/>
          <w:szCs w:val="28"/>
          <w:u w:val="none"/>
        </w:rPr>
      </w:pPr>
      <w:bookmarkStart w:id="71" w:name="_Toc20711"/>
      <w:r>
        <w:rPr>
          <w:rStyle w:val="28"/>
          <w:rFonts w:hint="eastAsia"/>
          <w:color w:val="auto"/>
          <w:sz w:val="28"/>
          <w:szCs w:val="28"/>
          <w:u w:val="none"/>
        </w:rPr>
        <w:t>与昌都市国民</w:t>
      </w:r>
      <w:r>
        <w:rPr>
          <w:rStyle w:val="28"/>
          <w:color w:val="auto"/>
          <w:sz w:val="28"/>
          <w:szCs w:val="28"/>
          <w:u w:val="none"/>
        </w:rPr>
        <w:t>经济和社会发展“十四五”规划和</w:t>
      </w:r>
      <w:r>
        <w:rPr>
          <w:rStyle w:val="28"/>
          <w:rFonts w:hint="eastAsia"/>
          <w:color w:val="auto"/>
          <w:sz w:val="28"/>
          <w:szCs w:val="28"/>
          <w:u w:val="none"/>
        </w:rPr>
        <w:t>二〇三五年远景目标纲要的</w:t>
      </w:r>
      <w:r>
        <w:rPr>
          <w:rStyle w:val="28"/>
          <w:color w:val="auto"/>
          <w:sz w:val="28"/>
          <w:szCs w:val="28"/>
          <w:u w:val="none"/>
        </w:rPr>
        <w:t>衔接</w:t>
      </w:r>
      <w:bookmarkEnd w:id="71"/>
    </w:p>
    <w:p w14:paraId="6C847A3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昌都市国民经济和社会发展第十四个五年规划和二〇三五年远景目标纲要》阐明昌都市的战略意图，明确经济社会发展目标任务，体现各族群众意愿，引导规范市场主体行为，是未来一个时期全市经济社会发展的宏伟蓝图，是政府履行职责的重要依据。“十四五”时期的战略定位提出：坚持“六地一枢纽”发展定位，大力实施党建统市、产业强市、开放兴市、民生安市、生态立市、依法治市“六大发展战略”，加快推进昌都长治久安和高质量发展，不断激活后发优势、提升经济发展内生动力、增强各族群众获得感幸福感安全感，打造西藏高质量发展的重要功能区和新的动力源。“纲要”提出：</w:t>
      </w:r>
      <w:r>
        <w:rPr>
          <w:rStyle w:val="27"/>
          <w:rFonts w:hint="eastAsia" w:ascii="Times New Roman" w:hAnsi="Times New Roman"/>
          <w:b w:val="0"/>
          <w:bCs/>
          <w:sz w:val="24"/>
          <w:szCs w:val="24"/>
        </w:rPr>
        <w:t>积极争取自治区绿色生态保护和修复项目，强化天然林草地保护、封山育林、退牧还草、人工造林种草、水土流失综合治理等保护措施。开展</w:t>
      </w:r>
      <w:r>
        <w:rPr>
          <w:rStyle w:val="27"/>
          <w:rFonts w:ascii="Times New Roman" w:hAnsi="Times New Roman"/>
          <w:b w:val="0"/>
          <w:sz w:val="24"/>
          <w:szCs w:val="24"/>
        </w:rPr>
        <w:t>草原</w:t>
      </w:r>
      <w:r>
        <w:rPr>
          <w:rStyle w:val="27"/>
          <w:rFonts w:hint="eastAsia" w:ascii="Times New Roman" w:hAnsi="Times New Roman"/>
          <w:b w:val="0"/>
          <w:sz w:val="24"/>
          <w:szCs w:val="24"/>
        </w:rPr>
        <w:t>有害生物</w:t>
      </w:r>
      <w:r>
        <w:rPr>
          <w:rStyle w:val="27"/>
          <w:rFonts w:ascii="Times New Roman" w:hAnsi="Times New Roman"/>
          <w:b w:val="0"/>
          <w:sz w:val="24"/>
          <w:szCs w:val="24"/>
        </w:rPr>
        <w:t>治理</w:t>
      </w:r>
      <w:r>
        <w:rPr>
          <w:rStyle w:val="27"/>
          <w:rFonts w:hint="eastAsia" w:ascii="Times New Roman" w:hAnsi="Times New Roman"/>
          <w:b w:val="0"/>
          <w:sz w:val="24"/>
          <w:szCs w:val="24"/>
        </w:rPr>
        <w:t>工程；建立健全生态补偿机制；</w:t>
      </w:r>
      <w:r>
        <w:rPr>
          <w:rStyle w:val="27"/>
          <w:rFonts w:hint="eastAsia" w:ascii="Times New Roman" w:hAnsi="Times New Roman"/>
          <w:b w:val="0"/>
          <w:bCs/>
          <w:sz w:val="24"/>
          <w:szCs w:val="24"/>
          <w:shd w:val="clear" w:color="auto" w:fill="FFFFFF"/>
        </w:rPr>
        <w:t>持续深化农牧区综合改革，</w:t>
      </w:r>
      <w:r>
        <w:rPr>
          <w:rStyle w:val="27"/>
          <w:rFonts w:hint="eastAsia" w:ascii="Times New Roman" w:hAnsi="Times New Roman"/>
          <w:b w:val="0"/>
          <w:bCs/>
          <w:sz w:val="24"/>
          <w:szCs w:val="24"/>
        </w:rPr>
        <w:t>引导农牧区耕地、草原经营权有序流转。在</w:t>
      </w:r>
      <w:r>
        <w:rPr>
          <w:rStyle w:val="27"/>
          <w:rFonts w:hint="eastAsia" w:ascii="Times New Roman" w:hAnsi="Times New Roman"/>
          <w:b w:val="0"/>
          <w:bCs/>
          <w:sz w:val="24"/>
          <w:szCs w:val="24"/>
          <w:shd w:val="clear" w:color="auto" w:fill="FFFFFF"/>
        </w:rPr>
        <w:t>2035年远景目标中也提出：未来的昌都，将是生态文明的示范高地。绿色发展理念根植人心，生态安全屏障更加牢固。三江生态保护建设示范带展示“水汇合地”的壮美，山水林田湖草沙系统治理共建生态文明的高地，生灵草木、万水千山得到有效保护。</w:t>
      </w:r>
    </w:p>
    <w:p w14:paraId="5816D8A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本规划紧密衔接昌都市“十四五”规划和二〇三五年远景目标纲要核心要求，以生态优先、绿色发展为导向，立足本地草原资源禀赋与实践基础，将草原生态保护修复、草业产业融合、民生保障提升及治理能力建设等任务精准嵌入宏观规划布局，通过推进退化草原综合治理、草畜及生态旅游与碳汇产业融合发展、扩容生态岗位并强化政策科技支撑等举措，明确分期推进与协同联动路径，确保专项规划与“十四五”纲要目标同向、任务同频、成效同步，为筑牢藏东生态安全屏障、推动昌都市高质量发展及乡村全面振兴提供坚实生态与产业保障。</w:t>
      </w:r>
    </w:p>
    <w:p w14:paraId="26C1E11C">
      <w:pPr>
        <w:pStyle w:val="4"/>
        <w:numPr>
          <w:ilvl w:val="2"/>
          <w:numId w:val="2"/>
        </w:numPr>
        <w:spacing w:before="120" w:after="120" w:line="360" w:lineRule="auto"/>
        <w:rPr>
          <w:rStyle w:val="28"/>
          <w:color w:val="auto"/>
          <w:sz w:val="28"/>
          <w:szCs w:val="28"/>
          <w:u w:val="none"/>
        </w:rPr>
      </w:pPr>
      <w:bookmarkStart w:id="72" w:name="_Toc8104"/>
      <w:r>
        <w:rPr>
          <w:rStyle w:val="28"/>
          <w:rFonts w:hint="eastAsia"/>
          <w:color w:val="auto"/>
          <w:sz w:val="28"/>
          <w:szCs w:val="28"/>
          <w:u w:val="none"/>
        </w:rPr>
        <w:t>与昌都市“十五五”国民经济和社会发展基本思路的衔接</w:t>
      </w:r>
      <w:bookmarkEnd w:id="72"/>
    </w:p>
    <w:p w14:paraId="2F3A807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中共昌都市委员会关于制定国民经济和社会发展第十五个五年规划的建议》（以下简称《建议》），准确把握发展大势和战略机遇，紧密结合昌都实际，明确提出了未来五年发展的指导思想、基本要求、主要目标和重点任务。“十五五”时期既是昌都同全国全区一道基本实现社会主义现代化夯实基础、全面发力的关键时期，也是自身持续深化反分裂斗争、推动高质量发展的紧要时期。要主动作为、乘势而上、迎难而上，加快推进社会主义现代化新昌都建设。《建议》指出“十五五”时期昌都长治久安和经济社会高质量发展的主要目标是：党建引领保障作用充分彰显，团结稳定的政治和社会局面持续巩固，高质量发展取得显著成效，美丽昌都建设取得重大进展，助力强边固防展现新作为，人民生活品质不断提高，科技赋能经济发展水平大幅提升，党员干部奋勇争先干事创业的斗志更加昂扬。在此基础上再奋斗五年，到二〇三五年实现社会局势从稳定到长治久安，经济实力、优势产业竞争力、绿色生产力、维护长治久安能力大幅跃升，人均地区生产总值力争位于全区前列，人民生活更加幸福美好，与全国全区一道基本实现社会主义现代化。《建议》指出：要加快构建现代化产业体系，做大清洁能源产业，做强绿色矿业和建材业，做优文化旅游产业，做精特色农牧业，标准化规模化品牌化发展藏医药产业，推动现代服务业提质增效，积极培育新兴产业和未来产业，夯实高质量发展根基。要始终坚持生态优先、绿色发展，深入推进污染防治攻坚，持续加强生态保护和系统修复，加快形成绿色生产生活方式，着力建设美丽昌都。</w:t>
      </w:r>
    </w:p>
    <w:p w14:paraId="506119C7">
      <w:pPr>
        <w:spacing w:line="360" w:lineRule="auto"/>
        <w:ind w:firstLine="480" w:firstLineChars="200"/>
        <w:rPr>
          <w:rStyle w:val="27"/>
          <w:rFonts w:ascii="Times New Roman" w:hAnsi="Times New Roman" w:eastAsia="宋体"/>
          <w:b w:val="0"/>
          <w:bCs/>
          <w:sz w:val="24"/>
          <w:szCs w:val="24"/>
          <w:shd w:val="clear" w:color="auto" w:fill="FFFFFF"/>
        </w:rPr>
      </w:pPr>
      <w:r>
        <w:rPr>
          <w:rFonts w:hint="eastAsia" w:ascii="宋体" w:hAnsi="宋体" w:eastAsia="宋体" w:cs="宋体"/>
          <w:sz w:val="24"/>
          <w:szCs w:val="24"/>
        </w:rPr>
        <w:t>因此，本次规划</w:t>
      </w:r>
      <w:r>
        <w:rPr>
          <w:rFonts w:ascii="宋体" w:hAnsi="宋体" w:eastAsia="宋体" w:cs="宋体"/>
          <w:sz w:val="24"/>
          <w:szCs w:val="24"/>
        </w:rPr>
        <w:t>以习近平生态文明思想为指导，紧扣昌都市“十五五”规划</w:t>
      </w:r>
      <w:r>
        <w:rPr>
          <w:rFonts w:hint="eastAsia" w:ascii="宋体" w:hAnsi="宋体" w:eastAsia="宋体" w:cs="宋体"/>
          <w:sz w:val="24"/>
          <w:szCs w:val="24"/>
        </w:rPr>
        <w:t>建议</w:t>
      </w:r>
      <w:r>
        <w:rPr>
          <w:rFonts w:ascii="宋体" w:hAnsi="宋体" w:eastAsia="宋体" w:cs="宋体"/>
          <w:sz w:val="24"/>
          <w:szCs w:val="24"/>
        </w:rPr>
        <w:t>中“生态优先、绿色发展”主线与“建设美丽昌都、筑牢生态安全屏障”目标，将草原生态保护修复与草业发展全面融入高原现代化产业体系建设、国家生态文明高地创建、乡村全面振兴等核心任务，实现生态保护与产业发展互促共赢，为全市高质量发展提供生态支撑与产业动能</w:t>
      </w:r>
      <w:r>
        <w:rPr>
          <w:rFonts w:hint="eastAsia" w:ascii="宋体" w:hAnsi="宋体" w:eastAsia="宋体" w:cs="宋体"/>
          <w:sz w:val="24"/>
          <w:szCs w:val="24"/>
        </w:rPr>
        <w:t>。</w:t>
      </w:r>
    </w:p>
    <w:p w14:paraId="171C5393">
      <w:pPr>
        <w:pStyle w:val="4"/>
        <w:numPr>
          <w:ilvl w:val="2"/>
          <w:numId w:val="2"/>
        </w:numPr>
        <w:spacing w:before="120" w:after="120" w:line="360" w:lineRule="auto"/>
        <w:rPr>
          <w:rStyle w:val="28"/>
          <w:color w:val="auto"/>
          <w:sz w:val="28"/>
          <w:szCs w:val="28"/>
          <w:u w:val="none"/>
        </w:rPr>
      </w:pPr>
      <w:bookmarkStart w:id="73" w:name="_Toc30219"/>
      <w:r>
        <w:rPr>
          <w:rStyle w:val="28"/>
          <w:rFonts w:hint="eastAsia"/>
          <w:color w:val="auto"/>
          <w:sz w:val="28"/>
          <w:szCs w:val="28"/>
          <w:u w:val="none"/>
        </w:rPr>
        <w:t>与林草生态保护修复相关</w:t>
      </w:r>
      <w:r>
        <w:rPr>
          <w:rStyle w:val="28"/>
          <w:color w:val="auto"/>
          <w:sz w:val="28"/>
          <w:szCs w:val="28"/>
          <w:u w:val="none"/>
        </w:rPr>
        <w:t>规划衔接</w:t>
      </w:r>
      <w:bookmarkEnd w:id="73"/>
    </w:p>
    <w:p w14:paraId="3C41620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西藏自治区草原生态保护修复和草业发展规划（2021—2035年）》以完善草原保护修复制度、推进草原治理体系和治理能力现代化为主线，提出了加强草原保护修复、创新草原保护利用新模式、健全草原管理和支撑体系三大任务，全面推行草原休养生息、持续推进草原生态修复、积极推进草原生态修复、积极推动现代草业发展、夯实支撑能力等14项具体工作，为全区草原专项规划编制提供了上位遵循，并明确了昌都市草原以保护修复为重点，属于滇东南生态保护修复工程。规划提出“加强藏东南高原生态保护和修复工程，加大有害生物防控，创建生态修复示范区，建设草品种试验站，建设草原生态系统野外定位观测站，严格执行禁牧休牧和草畜平衡措施，建设国家草原自然公园、草原自然公园、国有草场/生态牧场”等重点工作。</w:t>
      </w:r>
    </w:p>
    <w:p w14:paraId="03C89D7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w:t>
      </w:r>
      <w:r>
        <w:rPr>
          <w:rStyle w:val="27"/>
          <w:rFonts w:hint="eastAsia" w:ascii="Times New Roman" w:hAnsi="Times New Roman"/>
          <w:b w:val="0"/>
          <w:bCs/>
          <w:sz w:val="24"/>
          <w:szCs w:val="24"/>
          <w:shd w:val="clear" w:color="auto" w:fill="FFFFFF"/>
        </w:rPr>
        <w:t>昌都市草原生态保护修复与草业发展规划（2026—2035年）</w:t>
      </w:r>
      <w:r>
        <w:rPr>
          <w:rStyle w:val="27"/>
          <w:rFonts w:hint="eastAsia" w:ascii="Times New Roman"/>
          <w:b w:val="0"/>
          <w:bCs/>
          <w:sz w:val="24"/>
          <w:szCs w:val="24"/>
          <w:shd w:val="clear" w:color="auto" w:fill="FFFFFF"/>
        </w:rPr>
        <w:t>》充分衔接《西藏自治区“十四五”时期林草生态保护修复规划》、《西藏自治区草原生态保护修复和草业发展规划（</w:t>
      </w:r>
      <w:r>
        <w:rPr>
          <w:rStyle w:val="27"/>
          <w:rFonts w:ascii="Times New Roman"/>
          <w:b w:val="0"/>
          <w:bCs/>
          <w:sz w:val="24"/>
          <w:szCs w:val="24"/>
          <w:shd w:val="clear" w:color="auto" w:fill="FFFFFF"/>
        </w:rPr>
        <w:t>2021</w:t>
      </w:r>
      <w:r>
        <w:rPr>
          <w:rStyle w:val="27"/>
          <w:rFonts w:hint="eastAsia" w:ascii="Times New Roman" w:hAnsi="Times New Roman"/>
          <w:b w:val="0"/>
          <w:bCs/>
          <w:sz w:val="24"/>
          <w:szCs w:val="24"/>
          <w:shd w:val="clear" w:color="auto" w:fill="FFFFFF"/>
        </w:rPr>
        <w:t>—</w:t>
      </w:r>
      <w:r>
        <w:rPr>
          <w:rStyle w:val="27"/>
          <w:rFonts w:ascii="Times New Roman"/>
          <w:b w:val="0"/>
          <w:bCs/>
          <w:sz w:val="24"/>
          <w:szCs w:val="24"/>
          <w:shd w:val="clear" w:color="auto" w:fill="FFFFFF"/>
        </w:rPr>
        <w:t>2035</w:t>
      </w:r>
      <w:r>
        <w:rPr>
          <w:rStyle w:val="27"/>
          <w:rFonts w:hint="eastAsia" w:ascii="Times New Roman"/>
          <w:b w:val="0"/>
          <w:bCs/>
          <w:sz w:val="24"/>
          <w:szCs w:val="24"/>
          <w:shd w:val="clear" w:color="auto" w:fill="FFFFFF"/>
        </w:rPr>
        <w:t>年）》等上位规划中对昌都市草原工作的任务、布局，通过草原保护规划、草原生态修复规划、合理利用规划和支撑保障体系建设等专项规划，具体落实上位规划中对昌都市安排的重点工作。</w:t>
      </w:r>
    </w:p>
    <w:p w14:paraId="2CAE941A">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74" w:name="_Toc8419"/>
      <w:r>
        <w:rPr>
          <w:rStyle w:val="28"/>
          <w:rFonts w:hint="default" w:ascii="Times New Roman"/>
          <w:color w:val="auto"/>
          <w:kern w:val="2"/>
          <w:sz w:val="32"/>
          <w:szCs w:val="32"/>
          <w:u w:val="none"/>
        </w:rPr>
        <w:t>总体布局</w:t>
      </w:r>
      <w:bookmarkEnd w:id="74"/>
    </w:p>
    <w:p w14:paraId="4D314EB0">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根据《昌都市国土空间</w:t>
      </w:r>
      <w:r>
        <w:rPr>
          <w:rStyle w:val="27"/>
          <w:rFonts w:ascii="Times New Roman" w:hAnsi="Times New Roman" w:eastAsia="宋体" w:cs="Times New Roman"/>
          <w:b w:val="0"/>
          <w:bCs/>
          <w:sz w:val="24"/>
          <w:szCs w:val="24"/>
          <w:shd w:val="clear" w:color="auto" w:fill="FFFFFF"/>
        </w:rPr>
        <w:t>总体规划（2021—2035年）》、《昌都市“十五五”林业草原保护发展规划》、生态保护红线及自然保护地划定情况等，</w:t>
      </w:r>
      <w:r>
        <w:rPr>
          <w:rStyle w:val="27"/>
          <w:rFonts w:hint="eastAsia" w:ascii="Times New Roman" w:hAnsi="Times New Roman" w:eastAsia="宋体" w:cs="Times New Roman"/>
          <w:b w:val="0"/>
          <w:bCs/>
          <w:sz w:val="24"/>
          <w:szCs w:val="24"/>
          <w:shd w:val="clear" w:color="auto" w:fill="FFFFFF"/>
        </w:rPr>
        <w:t>结合昌都市草原生态建设实际、地形地貌、河流水系、三江源水源涵养补给重要性、行政区划、草原资源禀赋等情况，从生态保护修复与建设的角度出发，打造“两廊三区”的草原保护建设利用总体格局。即，怒江-澜沧江-金沙江生态空间廊道、国道“三纵四横”生态产业发展廊道、生态保护优先区、生态修复重点区、合理利用发展区。</w:t>
      </w:r>
    </w:p>
    <w:p w14:paraId="1B84F6A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（1）怒江-澜沧江-金沙江生态空间廊道</w:t>
      </w:r>
    </w:p>
    <w:p w14:paraId="4DD3B7F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以金沙江、澜沧江、怒江的干支流以及山间谷地为框架，构建起生态廊道和生态涵养带，丰富的草原资源是构成该生态空间廊道的重要基础。这些草原不仅为众多野生动物提供了栖息地，还在保持水土、调节气候等方面发挥着重要作用。怒江-澜沧江-金沙江生态空间廊道是众多野生动物迁徙、栖息和繁衍的重要通道，对于维护区域生物多样性意义重大。</w:t>
      </w:r>
    </w:p>
    <w:p w14:paraId="548A92F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（2）国道“三纵四横”生态产业发展廊道</w:t>
      </w:r>
    </w:p>
    <w:p w14:paraId="50FEC48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依托“三纵四横”交通骨架，以G317/G318/G214/G349为核心廊道，G557/G558/G701为补充联动线，串联邦达、类乌齐、丁青等草原集中区，形成“全域织网、分段赋能、生态优先、产业联动”的复合发展体系，依托“三纵四横”交通骨架，联动周边自然保护地与草原生态空间，实现生态保护与产业融合的高质量发展。</w:t>
      </w:r>
    </w:p>
    <w:p w14:paraId="2B82834B">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表4-2草原功能分区情况一览表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4253"/>
        <w:gridCol w:w="1535"/>
        <w:gridCol w:w="1214"/>
        <w:gridCol w:w="924"/>
      </w:tblGrid>
      <w:tr w14:paraId="288E8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1241" w:type="dxa"/>
            <w:vAlign w:val="center"/>
          </w:tcPr>
          <w:p w14:paraId="51E15AEA">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功能分区</w:t>
            </w:r>
          </w:p>
        </w:tc>
        <w:tc>
          <w:tcPr>
            <w:tcW w:w="4253" w:type="dxa"/>
            <w:vAlign w:val="center"/>
          </w:tcPr>
          <w:p w14:paraId="3812B902">
            <w:pPr>
              <w:jc w:val="center"/>
              <w:rPr>
                <w:rStyle w:val="27"/>
                <w:rFonts w:ascii="Times New Roman" w:hAnsi="Times New Roman" w:cs="Times New Roman"/>
                <w:b w:val="0"/>
                <w:bCs/>
                <w:color w:val="1901FB"/>
                <w:szCs w:val="21"/>
                <w:shd w:val="clear" w:color="auto" w:fill="FFFFFF"/>
              </w:rPr>
            </w:pPr>
            <w:r>
              <w:rPr>
                <w:rStyle w:val="27"/>
                <w:rFonts w:ascii="Times New Roman" w:hAnsi="Times New Roman" w:cs="Times New Roman"/>
                <w:b w:val="0"/>
                <w:bCs/>
                <w:color w:val="1901FB"/>
                <w:szCs w:val="21"/>
                <w:shd w:val="clear" w:color="auto" w:fill="FFFFFF"/>
              </w:rPr>
              <w:t>依据</w:t>
            </w:r>
          </w:p>
        </w:tc>
        <w:tc>
          <w:tcPr>
            <w:tcW w:w="1535" w:type="dxa"/>
            <w:vAlign w:val="center"/>
          </w:tcPr>
          <w:p w14:paraId="523ABEF4">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县（区）</w:t>
            </w:r>
          </w:p>
        </w:tc>
        <w:tc>
          <w:tcPr>
            <w:tcW w:w="1214" w:type="dxa"/>
            <w:vAlign w:val="center"/>
          </w:tcPr>
          <w:p w14:paraId="6D432BD2">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草原面积</w:t>
            </w:r>
          </w:p>
          <w:p w14:paraId="1FFA9B2D">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（公顷）</w:t>
            </w:r>
          </w:p>
        </w:tc>
        <w:tc>
          <w:tcPr>
            <w:tcW w:w="924" w:type="dxa"/>
            <w:vAlign w:val="center"/>
          </w:tcPr>
          <w:p w14:paraId="0C067892">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占比（%）</w:t>
            </w:r>
          </w:p>
        </w:tc>
      </w:tr>
      <w:tr w14:paraId="3F1FD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1241" w:type="dxa"/>
            <w:vAlign w:val="center"/>
          </w:tcPr>
          <w:p w14:paraId="7854D023">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生态保护优先区</w:t>
            </w:r>
          </w:p>
        </w:tc>
        <w:tc>
          <w:tcPr>
            <w:tcW w:w="4253" w:type="dxa"/>
            <w:vAlign w:val="center"/>
          </w:tcPr>
          <w:p w14:paraId="4F74BF1B">
            <w:pPr>
              <w:jc w:val="center"/>
              <w:rPr>
                <w:rFonts w:ascii="Times New Roman" w:hAnsi="Times New Roman" w:cs="Times New Roman"/>
                <w:bCs/>
                <w:color w:val="1901FB"/>
                <w:szCs w:val="21"/>
              </w:rPr>
            </w:pPr>
            <w:r>
              <w:rPr>
                <w:rStyle w:val="27"/>
                <w:rFonts w:ascii="Times New Roman" w:hAnsi="Times New Roman" w:eastAsia="宋体" w:cs="Times New Roman"/>
                <w:b w:val="0"/>
                <w:bCs/>
                <w:color w:val="1901FB"/>
                <w:kern w:val="0"/>
                <w:szCs w:val="21"/>
              </w:rPr>
              <w:t>根据生态保护重要区、生态保护红线、自然保护地、</w:t>
            </w:r>
            <w:r>
              <w:rPr>
                <w:rStyle w:val="27"/>
                <w:rFonts w:hint="eastAsia" w:ascii="Times New Roman" w:hAnsi="Times New Roman" w:eastAsia="宋体" w:cs="Times New Roman"/>
                <w:b w:val="0"/>
                <w:bCs/>
                <w:color w:val="1901FB"/>
                <w:kern w:val="0"/>
                <w:szCs w:val="21"/>
              </w:rPr>
              <w:t>重要水源涵养区、</w:t>
            </w:r>
            <w:r>
              <w:rPr>
                <w:rStyle w:val="27"/>
                <w:rFonts w:ascii="Times New Roman" w:hAnsi="Times New Roman" w:eastAsia="宋体" w:cs="Times New Roman"/>
                <w:b w:val="0"/>
                <w:bCs/>
                <w:color w:val="1901FB"/>
                <w:kern w:val="0"/>
                <w:szCs w:val="21"/>
              </w:rPr>
              <w:t>地理分布区域等特征，划定生态保护优先区</w:t>
            </w:r>
          </w:p>
        </w:tc>
        <w:tc>
          <w:tcPr>
            <w:tcW w:w="1535" w:type="dxa"/>
            <w:vAlign w:val="center"/>
          </w:tcPr>
          <w:p w14:paraId="7898EA2B">
            <w:pPr>
              <w:jc w:val="center"/>
              <w:rPr>
                <w:rStyle w:val="27"/>
                <w:rFonts w:ascii="Times New Roman" w:hAnsi="Times New Roman" w:cs="Times New Roman"/>
                <w:b w:val="0"/>
                <w:bCs/>
                <w:szCs w:val="21"/>
                <w:shd w:val="clear" w:color="auto" w:fill="FFFFFF"/>
              </w:rPr>
            </w:pPr>
            <w:r>
              <w:rPr>
                <w:rFonts w:ascii="Times New Roman" w:hAnsi="Times New Roman" w:cs="Times New Roman"/>
                <w:bCs/>
                <w:szCs w:val="21"/>
              </w:rPr>
              <w:t>丁青县、类乌齐县、察雅县、江达县</w:t>
            </w:r>
          </w:p>
        </w:tc>
        <w:tc>
          <w:tcPr>
            <w:tcW w:w="1214" w:type="dxa"/>
            <w:vAlign w:val="center"/>
          </w:tcPr>
          <w:p w14:paraId="1870115A">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2361783.33</w:t>
            </w:r>
          </w:p>
        </w:tc>
        <w:tc>
          <w:tcPr>
            <w:tcW w:w="924" w:type="dxa"/>
            <w:vAlign w:val="center"/>
          </w:tcPr>
          <w:p w14:paraId="69A40641">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46.38</w:t>
            </w:r>
          </w:p>
        </w:tc>
      </w:tr>
      <w:tr w14:paraId="70292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241" w:type="dxa"/>
            <w:vAlign w:val="center"/>
          </w:tcPr>
          <w:p w14:paraId="4335A30E">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生态修复重点区</w:t>
            </w:r>
          </w:p>
        </w:tc>
        <w:tc>
          <w:tcPr>
            <w:tcW w:w="4253" w:type="dxa"/>
            <w:vAlign w:val="center"/>
          </w:tcPr>
          <w:p w14:paraId="06948AAD">
            <w:pPr>
              <w:jc w:val="center"/>
              <w:rPr>
                <w:rFonts w:ascii="Times New Roman" w:hAnsi="Times New Roman" w:cs="Times New Roman"/>
                <w:bCs/>
                <w:color w:val="1901FB"/>
                <w:szCs w:val="21"/>
              </w:rPr>
            </w:pPr>
            <w:r>
              <w:rPr>
                <w:rStyle w:val="27"/>
                <w:rFonts w:hint="eastAsia" w:ascii="Times New Roman" w:hAnsi="Times New Roman" w:eastAsia="宋体" w:cs="Times New Roman"/>
                <w:b w:val="0"/>
                <w:bCs/>
                <w:color w:val="1901FB"/>
                <w:kern w:val="0"/>
                <w:szCs w:val="21"/>
              </w:rPr>
              <w:t>根据草原中度、重度退化情况，交通干线沿线分布等特征，划定生态修复重点区</w:t>
            </w:r>
          </w:p>
        </w:tc>
        <w:tc>
          <w:tcPr>
            <w:tcW w:w="1535" w:type="dxa"/>
            <w:vAlign w:val="center"/>
          </w:tcPr>
          <w:p w14:paraId="6521DC58">
            <w:pPr>
              <w:jc w:val="center"/>
              <w:rPr>
                <w:rStyle w:val="27"/>
                <w:rFonts w:ascii="Times New Roman" w:hAnsi="Times New Roman" w:cs="Times New Roman"/>
                <w:b w:val="0"/>
                <w:bCs/>
                <w:szCs w:val="21"/>
                <w:shd w:val="clear" w:color="auto" w:fill="FFFFFF"/>
              </w:rPr>
            </w:pPr>
            <w:r>
              <w:rPr>
                <w:rFonts w:ascii="Times New Roman" w:hAnsi="Times New Roman" w:cs="Times New Roman"/>
                <w:bCs/>
                <w:szCs w:val="21"/>
              </w:rPr>
              <w:t>八宿</w:t>
            </w:r>
            <w:r>
              <w:rPr>
                <w:rFonts w:hint="eastAsia" w:ascii="Times New Roman" w:hAnsi="Times New Roman" w:cs="Times New Roman"/>
                <w:bCs/>
                <w:szCs w:val="21"/>
              </w:rPr>
              <w:t>县</w:t>
            </w:r>
            <w:r>
              <w:rPr>
                <w:rFonts w:ascii="Times New Roman" w:hAnsi="Times New Roman" w:cs="Times New Roman"/>
                <w:bCs/>
                <w:szCs w:val="21"/>
              </w:rPr>
              <w:t>、左贡县、芒康县、边坝</w:t>
            </w:r>
            <w:r>
              <w:rPr>
                <w:rFonts w:hint="eastAsia" w:ascii="Times New Roman" w:hAnsi="Times New Roman" w:cs="Times New Roman"/>
                <w:bCs/>
                <w:szCs w:val="21"/>
              </w:rPr>
              <w:t>县</w:t>
            </w:r>
          </w:p>
        </w:tc>
        <w:tc>
          <w:tcPr>
            <w:tcW w:w="1214" w:type="dxa"/>
            <w:vAlign w:val="center"/>
          </w:tcPr>
          <w:p w14:paraId="27022EB6">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1836118.25</w:t>
            </w:r>
          </w:p>
        </w:tc>
        <w:tc>
          <w:tcPr>
            <w:tcW w:w="924" w:type="dxa"/>
            <w:vAlign w:val="center"/>
          </w:tcPr>
          <w:p w14:paraId="5DFFC003">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36.06</w:t>
            </w:r>
          </w:p>
        </w:tc>
      </w:tr>
      <w:tr w14:paraId="4A3D4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241" w:type="dxa"/>
            <w:vAlign w:val="center"/>
          </w:tcPr>
          <w:p w14:paraId="55164EBF">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合理利用发展区</w:t>
            </w:r>
          </w:p>
        </w:tc>
        <w:tc>
          <w:tcPr>
            <w:tcW w:w="4253" w:type="dxa"/>
            <w:vAlign w:val="center"/>
          </w:tcPr>
          <w:p w14:paraId="396EC94B">
            <w:pPr>
              <w:jc w:val="center"/>
              <w:rPr>
                <w:rFonts w:ascii="Times New Roman" w:hAnsi="Times New Roman" w:cs="Times New Roman"/>
                <w:bCs/>
                <w:color w:val="1901FB"/>
                <w:szCs w:val="21"/>
              </w:rPr>
            </w:pPr>
            <w:r>
              <w:rPr>
                <w:rStyle w:val="29"/>
                <w:rFonts w:hint="eastAsia"/>
                <w:color w:val="1901FB"/>
              </w:rPr>
              <w:t>根据草原资源空间分布格局，社会经济发展情况，划定合理利用发展区</w:t>
            </w:r>
          </w:p>
        </w:tc>
        <w:tc>
          <w:tcPr>
            <w:tcW w:w="1535" w:type="dxa"/>
            <w:vAlign w:val="center"/>
          </w:tcPr>
          <w:p w14:paraId="5AE9BB9E">
            <w:pPr>
              <w:jc w:val="center"/>
              <w:rPr>
                <w:rFonts w:ascii="Times New Roman" w:hAnsi="Times New Roman" w:cs="Times New Roman"/>
                <w:bCs/>
                <w:szCs w:val="21"/>
              </w:rPr>
            </w:pPr>
            <w:r>
              <w:rPr>
                <w:rFonts w:ascii="Times New Roman" w:hAnsi="Times New Roman" w:cs="Times New Roman"/>
                <w:bCs/>
                <w:szCs w:val="21"/>
              </w:rPr>
              <w:t>卡若区、贡觉县、洛隆县</w:t>
            </w:r>
          </w:p>
        </w:tc>
        <w:tc>
          <w:tcPr>
            <w:tcW w:w="1214" w:type="dxa"/>
            <w:vAlign w:val="center"/>
          </w:tcPr>
          <w:p w14:paraId="4AC5CECA">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894547.52</w:t>
            </w:r>
          </w:p>
        </w:tc>
        <w:tc>
          <w:tcPr>
            <w:tcW w:w="924" w:type="dxa"/>
            <w:vAlign w:val="center"/>
          </w:tcPr>
          <w:p w14:paraId="28EEEFDC">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17.57</w:t>
            </w:r>
          </w:p>
        </w:tc>
      </w:tr>
      <w:tr w14:paraId="65954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7029" w:type="dxa"/>
            <w:gridSpan w:val="3"/>
            <w:vAlign w:val="center"/>
          </w:tcPr>
          <w:p w14:paraId="20EFF621">
            <w:pPr>
              <w:jc w:val="center"/>
              <w:rPr>
                <w:rFonts w:ascii="Times New Roman" w:hAnsi="Times New Roman" w:cs="Times New Roman"/>
                <w:bCs/>
                <w:szCs w:val="21"/>
              </w:rPr>
            </w:pPr>
            <w:r>
              <w:rPr>
                <w:rStyle w:val="27"/>
                <w:rFonts w:ascii="Times New Roman" w:hAnsi="Times New Roman" w:cs="Times New Roman"/>
                <w:b w:val="0"/>
                <w:bCs/>
                <w:szCs w:val="21"/>
                <w:shd w:val="clear" w:color="auto" w:fill="FFFFFF"/>
              </w:rPr>
              <w:t>合计</w:t>
            </w:r>
          </w:p>
        </w:tc>
        <w:tc>
          <w:tcPr>
            <w:tcW w:w="1214" w:type="dxa"/>
            <w:vAlign w:val="center"/>
          </w:tcPr>
          <w:p w14:paraId="4AC3FC76">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5092449.10</w:t>
            </w:r>
          </w:p>
        </w:tc>
        <w:tc>
          <w:tcPr>
            <w:tcW w:w="924" w:type="dxa"/>
            <w:vAlign w:val="center"/>
          </w:tcPr>
          <w:p w14:paraId="1D0922FE">
            <w:pPr>
              <w:jc w:val="center"/>
              <w:rPr>
                <w:rStyle w:val="27"/>
                <w:rFonts w:ascii="Times New Roman" w:hAnsi="Times New Roman" w:cs="Times New Roman"/>
                <w:b w:val="0"/>
                <w:bCs/>
                <w:szCs w:val="21"/>
                <w:shd w:val="clear" w:color="auto" w:fill="FFFFFF"/>
              </w:rPr>
            </w:pPr>
            <w:r>
              <w:rPr>
                <w:rStyle w:val="27"/>
                <w:rFonts w:ascii="Times New Roman" w:hAnsi="Times New Roman" w:cs="Times New Roman"/>
                <w:b w:val="0"/>
                <w:bCs/>
                <w:szCs w:val="21"/>
                <w:shd w:val="clear" w:color="auto" w:fill="FFFFFF"/>
              </w:rPr>
              <w:t>100.00</w:t>
            </w:r>
          </w:p>
        </w:tc>
      </w:tr>
    </w:tbl>
    <w:p w14:paraId="4D2169B4">
      <w:pPr>
        <w:widowControl/>
        <w:spacing w:line="360" w:lineRule="auto"/>
        <w:ind w:firstLine="480" w:firstLineChars="200"/>
        <w:rPr>
          <w:rStyle w:val="27"/>
          <w:rFonts w:ascii="Times New Roman" w:hAnsi="Times New Roman" w:eastAsia="宋体" w:cs="Times New Roman"/>
          <w:b w:val="0"/>
          <w:bCs/>
          <w:kern w:val="0"/>
          <w:sz w:val="24"/>
          <w:szCs w:val="24"/>
        </w:rPr>
      </w:pPr>
    </w:p>
    <w:p w14:paraId="5F07CC7D">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ascii="Times New Roman" w:hAnsi="Times New Roman" w:eastAsia="宋体" w:cs="Times New Roman"/>
          <w:b w:val="0"/>
          <w:bCs/>
          <w:kern w:val="0"/>
          <w:sz w:val="24"/>
          <w:szCs w:val="24"/>
        </w:rPr>
        <w:t>（</w:t>
      </w:r>
      <w:r>
        <w:rPr>
          <w:rStyle w:val="27"/>
          <w:rFonts w:hint="eastAsia" w:ascii="Times New Roman" w:hAnsi="Times New Roman" w:eastAsia="宋体" w:cs="Times New Roman"/>
          <w:b w:val="0"/>
          <w:bCs/>
          <w:kern w:val="0"/>
          <w:sz w:val="24"/>
          <w:szCs w:val="24"/>
        </w:rPr>
        <w:t>3</w:t>
      </w:r>
      <w:r>
        <w:rPr>
          <w:rStyle w:val="27"/>
          <w:rFonts w:ascii="Times New Roman" w:hAnsi="Times New Roman" w:eastAsia="宋体" w:cs="Times New Roman"/>
          <w:b w:val="0"/>
          <w:bCs/>
          <w:kern w:val="0"/>
          <w:sz w:val="24"/>
          <w:szCs w:val="24"/>
        </w:rPr>
        <w:t>）生态保护优先区</w:t>
      </w:r>
    </w:p>
    <w:p w14:paraId="6AEAF275">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ascii="Times New Roman" w:hAnsi="Times New Roman" w:eastAsia="宋体" w:cs="Times New Roman"/>
          <w:b w:val="0"/>
          <w:bCs/>
          <w:kern w:val="0"/>
          <w:sz w:val="24"/>
          <w:szCs w:val="24"/>
        </w:rPr>
        <w:t>根据生态保护重要区、生态保护红线、自然保护地、</w:t>
      </w:r>
      <w:r>
        <w:rPr>
          <w:rStyle w:val="27"/>
          <w:rFonts w:hint="eastAsia" w:ascii="Times New Roman" w:hAnsi="Times New Roman" w:eastAsia="宋体" w:cs="Times New Roman"/>
          <w:b w:val="0"/>
          <w:bCs/>
          <w:kern w:val="0"/>
          <w:sz w:val="24"/>
          <w:szCs w:val="24"/>
        </w:rPr>
        <w:t>重要水源涵养区、</w:t>
      </w:r>
      <w:r>
        <w:rPr>
          <w:rStyle w:val="27"/>
          <w:rFonts w:ascii="Times New Roman" w:hAnsi="Times New Roman" w:eastAsia="宋体" w:cs="Times New Roman"/>
          <w:b w:val="0"/>
          <w:bCs/>
          <w:kern w:val="0"/>
          <w:sz w:val="24"/>
          <w:szCs w:val="24"/>
        </w:rPr>
        <w:t>地理分布区域等特征，划定生态保护优先区，面积为2361783.33公顷，占全市草地面积的46.38%，涉及丁青县、类乌齐县、察雅县、江达县等4个县。生态优先保护区要求实施严格保护与自然恢复。通过实施严格的禁牧、休牧制度，严格管控人为活动，维持草原生态原真性；开展草畜平衡精准管理，加强草原生态监管和执法监管，维持草原生态系统的稳定与健康。</w:t>
      </w:r>
    </w:p>
    <w:p w14:paraId="31359EEB">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hint="eastAsia" w:ascii="Times New Roman" w:hAnsi="Times New Roman" w:eastAsia="宋体" w:cs="Times New Roman"/>
          <w:b w:val="0"/>
          <w:bCs/>
          <w:kern w:val="0"/>
          <w:sz w:val="24"/>
          <w:szCs w:val="24"/>
        </w:rPr>
        <w:t>（4）生态修复重点区</w:t>
      </w:r>
    </w:p>
    <w:p w14:paraId="75718522">
      <w:pPr>
        <w:widowControl/>
        <w:spacing w:line="360" w:lineRule="auto"/>
        <w:ind w:firstLine="480" w:firstLineChars="200"/>
        <w:rPr>
          <w:sz w:val="24"/>
          <w:szCs w:val="24"/>
        </w:rPr>
      </w:pPr>
      <w:r>
        <w:rPr>
          <w:rStyle w:val="27"/>
          <w:rFonts w:hint="eastAsia" w:ascii="Times New Roman" w:hAnsi="Times New Roman" w:eastAsia="宋体" w:cs="Times New Roman"/>
          <w:b w:val="0"/>
          <w:bCs/>
          <w:kern w:val="0"/>
          <w:sz w:val="24"/>
          <w:szCs w:val="24"/>
        </w:rPr>
        <w:t>根据草原中度、重度退化情况，交通干线沿线分布等特征，划定生态修复重点区，面积为</w:t>
      </w:r>
      <w:r>
        <w:rPr>
          <w:rStyle w:val="27"/>
          <w:rFonts w:ascii="Times New Roman" w:hAnsi="Times New Roman" w:eastAsia="宋体" w:cs="Times New Roman"/>
          <w:b w:val="0"/>
          <w:bCs/>
          <w:kern w:val="0"/>
          <w:sz w:val="24"/>
          <w:szCs w:val="24"/>
        </w:rPr>
        <w:t>1836118.25</w:t>
      </w:r>
      <w:r>
        <w:rPr>
          <w:rStyle w:val="27"/>
          <w:rFonts w:hint="eastAsia" w:ascii="Times New Roman" w:hAnsi="Times New Roman" w:eastAsia="宋体" w:cs="Times New Roman"/>
          <w:b w:val="0"/>
          <w:bCs/>
          <w:kern w:val="0"/>
          <w:sz w:val="24"/>
          <w:szCs w:val="24"/>
        </w:rPr>
        <w:t>公顷，占全市草地面积的36.06%，涉及</w:t>
      </w:r>
      <w:r>
        <w:rPr>
          <w:rStyle w:val="27"/>
          <w:rFonts w:ascii="Times New Roman" w:hAnsi="Times New Roman" w:eastAsia="宋体" w:cs="Times New Roman"/>
          <w:b w:val="0"/>
          <w:bCs/>
          <w:kern w:val="0"/>
          <w:sz w:val="24"/>
          <w:szCs w:val="24"/>
        </w:rPr>
        <w:t>八宿</w:t>
      </w:r>
      <w:r>
        <w:rPr>
          <w:rStyle w:val="27"/>
          <w:rFonts w:hint="eastAsia" w:ascii="Times New Roman" w:hAnsi="Times New Roman" w:eastAsia="宋体" w:cs="Times New Roman"/>
          <w:b w:val="0"/>
          <w:bCs/>
          <w:kern w:val="0"/>
          <w:sz w:val="24"/>
          <w:szCs w:val="24"/>
        </w:rPr>
        <w:t>县</w:t>
      </w:r>
      <w:r>
        <w:rPr>
          <w:rStyle w:val="27"/>
          <w:rFonts w:ascii="Times New Roman" w:hAnsi="Times New Roman" w:eastAsia="宋体" w:cs="Times New Roman"/>
          <w:b w:val="0"/>
          <w:bCs/>
          <w:kern w:val="0"/>
          <w:sz w:val="24"/>
          <w:szCs w:val="24"/>
        </w:rPr>
        <w:t>、左贡县、芒康县、边坝</w:t>
      </w:r>
      <w:r>
        <w:rPr>
          <w:rStyle w:val="27"/>
          <w:rFonts w:hint="eastAsia" w:ascii="Times New Roman" w:hAnsi="Times New Roman" w:eastAsia="宋体" w:cs="Times New Roman"/>
          <w:b w:val="0"/>
          <w:bCs/>
          <w:kern w:val="0"/>
          <w:sz w:val="24"/>
          <w:szCs w:val="24"/>
        </w:rPr>
        <w:t>县等4个县。</w:t>
      </w:r>
      <w:r>
        <w:rPr>
          <w:rStyle w:val="27"/>
          <w:rFonts w:hint="eastAsia" w:ascii="Times New Roman" w:hAnsi="Times New Roman"/>
          <w:b w:val="0"/>
          <w:bCs/>
          <w:sz w:val="24"/>
          <w:szCs w:val="24"/>
          <w:shd w:val="clear" w:color="auto" w:fill="FFFFFF"/>
        </w:rPr>
        <w:t>生态修复重点区要求人工干预和系统恢复。坚持自然恢复为主，人工修复为辅原则，在中重度退化草原区域采取适度人工干预，实行分区分类精准施策，统筹生态保护与民生改善。主要是通过人工种草、补播改良、退耕还草、黑土滩综合整理、鼠虫害防治等综合措施，</w:t>
      </w:r>
      <w:r>
        <w:rPr>
          <w:rFonts w:hint="eastAsia"/>
          <w:sz w:val="24"/>
          <w:szCs w:val="24"/>
        </w:rPr>
        <w:t>逐步恢复草原生态功能。</w:t>
      </w:r>
    </w:p>
    <w:p w14:paraId="69077D16">
      <w:pPr>
        <w:widowControl/>
        <w:spacing w:line="360" w:lineRule="auto"/>
        <w:ind w:firstLine="480" w:firstLineChars="200"/>
        <w:rPr>
          <w:rStyle w:val="27"/>
          <w:rFonts w:ascii="Times New Roman" w:hAnsi="Times New Roman" w:eastAsia="宋体" w:cs="Times New Roman"/>
          <w:b w:val="0"/>
          <w:bCs/>
          <w:kern w:val="0"/>
          <w:sz w:val="24"/>
          <w:szCs w:val="24"/>
        </w:rPr>
      </w:pPr>
      <w:r>
        <w:rPr>
          <w:rStyle w:val="27"/>
          <w:rFonts w:hint="eastAsia" w:ascii="Times New Roman" w:hAnsi="Times New Roman" w:eastAsia="宋体" w:cs="Times New Roman"/>
          <w:b w:val="0"/>
          <w:bCs/>
          <w:kern w:val="0"/>
          <w:sz w:val="24"/>
          <w:szCs w:val="24"/>
        </w:rPr>
        <w:t>（5）合理利用发展区</w:t>
      </w:r>
    </w:p>
    <w:p w14:paraId="73A139E2">
      <w:pPr>
        <w:spacing w:line="360" w:lineRule="auto"/>
        <w:ind w:firstLine="480" w:firstLineChars="200"/>
        <w:rPr>
          <w:rStyle w:val="27"/>
          <w:rFonts w:ascii="Times New Roman" w:hAnsi="Times New Roman"/>
          <w:b w:val="0"/>
          <w:bCs/>
          <w:sz w:val="24"/>
          <w:szCs w:val="24"/>
          <w:shd w:val="clear" w:color="auto" w:fill="FFFFFF"/>
        </w:rPr>
      </w:pPr>
      <w:r>
        <w:rPr>
          <w:rStyle w:val="29"/>
          <w:rFonts w:hint="eastAsia"/>
          <w:sz w:val="24"/>
          <w:szCs w:val="24"/>
        </w:rPr>
        <w:t>根据草原资源空间分布格局，社会经济发展情况，划定合理利用发展区，</w:t>
      </w:r>
      <w:r>
        <w:rPr>
          <w:rStyle w:val="27"/>
          <w:rFonts w:ascii="Times New Roman" w:hAnsi="Times New Roman" w:cs="Times New Roman"/>
          <w:b w:val="0"/>
          <w:bCs/>
          <w:sz w:val="24"/>
          <w:szCs w:val="24"/>
          <w:shd w:val="clear" w:color="auto" w:fill="FFFFFF"/>
        </w:rPr>
        <w:t>面积为894547.52公顷，占全市草地面积的17.57%，涉及卡若区、贡觉县、洛隆县等3个县（区）。</w:t>
      </w:r>
      <w:r>
        <w:rPr>
          <w:rStyle w:val="27"/>
          <w:rFonts w:hint="eastAsia" w:ascii="Times New Roman" w:hAnsi="Times New Roman"/>
          <w:b w:val="0"/>
          <w:bCs/>
          <w:sz w:val="24"/>
          <w:szCs w:val="24"/>
          <w:shd w:val="clear" w:color="auto" w:fill="FFFFFF"/>
        </w:rPr>
        <w:t>合理利用发展区要求科学利用与绿色发展。在确保草原生态不退化、功能不降低的前提下，科学、适度地利用草原资源，实现生态保护与畜牧业提质增效、牧民生活改善的协同发展。通过全面落实草畜平衡制度，推行以草定畜、划区轮牧；建设高产稳产的人工饲草料基地和防灾保畜基地；发展家庭生态牧场、合作社等适度规模经营；推动草原生态旅游、特色畜产品精深加工、林下经济等绿色产业。</w:t>
      </w:r>
    </w:p>
    <w:p w14:paraId="3A58355B">
      <w:pPr>
        <w:spacing w:line="360" w:lineRule="auto"/>
        <w:jc w:val="left"/>
        <w:rPr>
          <w:rStyle w:val="27"/>
          <w:rFonts w:ascii="Times New Roman" w:hAnsi="Times New Roman"/>
          <w:b w:val="0"/>
          <w:bCs/>
          <w:sz w:val="24"/>
          <w:szCs w:val="24"/>
          <w:shd w:val="clear" w:color="auto" w:fill="FFFFFF"/>
        </w:rPr>
      </w:pPr>
      <w:r>
        <w:drawing>
          <wp:inline distT="0" distB="0" distL="114300" distR="114300">
            <wp:extent cx="5680075" cy="3744595"/>
            <wp:effectExtent l="0" t="0" r="15875"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cstate="print"/>
                    <a:stretch>
                      <a:fillRect/>
                    </a:stretch>
                  </pic:blipFill>
                  <pic:spPr>
                    <a:xfrm>
                      <a:off x="0" y="0"/>
                      <a:ext cx="5680075" cy="3744595"/>
                    </a:xfrm>
                    <a:prstGeom prst="rect">
                      <a:avLst/>
                    </a:prstGeom>
                    <a:noFill/>
                    <a:ln>
                      <a:noFill/>
                    </a:ln>
                  </pic:spPr>
                </pic:pic>
              </a:graphicData>
            </a:graphic>
          </wp:inline>
        </w:drawing>
      </w:r>
    </w:p>
    <w:p w14:paraId="59972568">
      <w:pPr>
        <w:spacing w:afterLines="50"/>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图4-6总体布局图</w:t>
      </w:r>
    </w:p>
    <w:p w14:paraId="63B41540">
      <w:pPr>
        <w:rPr>
          <w:rFonts w:ascii="Times New Roman" w:hAnsi="Times New Roman" w:eastAsia="黑体" w:cs="Times New Roman"/>
          <w:sz w:val="24"/>
          <w:szCs w:val="21"/>
        </w:rPr>
      </w:pPr>
      <w:r>
        <w:drawing>
          <wp:inline distT="0" distB="0" distL="114300" distR="114300">
            <wp:extent cx="5674995" cy="3717290"/>
            <wp:effectExtent l="0" t="0" r="1905" b="1651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0"/>
                    <a:stretch>
                      <a:fillRect/>
                    </a:stretch>
                  </pic:blipFill>
                  <pic:spPr>
                    <a:xfrm>
                      <a:off x="0" y="0"/>
                      <a:ext cx="5674995" cy="3717290"/>
                    </a:xfrm>
                    <a:prstGeom prst="rect">
                      <a:avLst/>
                    </a:prstGeom>
                    <a:noFill/>
                    <a:ln>
                      <a:noFill/>
                    </a:ln>
                  </pic:spPr>
                </pic:pic>
              </a:graphicData>
            </a:graphic>
          </wp:inline>
        </w:drawing>
      </w:r>
    </w:p>
    <w:p w14:paraId="1164DBC3">
      <w:pPr>
        <w:spacing w:afterLines="50"/>
        <w:jc w:val="center"/>
        <w:rPr>
          <w:rFonts w:ascii="Times New Roman" w:hAnsi="Times New Roman" w:eastAsia="黑体" w:cs="Times New Roman"/>
          <w:color w:val="0000CC"/>
          <w:sz w:val="24"/>
          <w:szCs w:val="21"/>
        </w:rPr>
      </w:pPr>
      <w:r>
        <w:rPr>
          <w:rFonts w:hint="eastAsia" w:ascii="Times New Roman" w:hAnsi="Times New Roman" w:eastAsia="黑体" w:cs="Times New Roman"/>
          <w:color w:val="0000CC"/>
          <w:sz w:val="24"/>
          <w:szCs w:val="21"/>
        </w:rPr>
        <w:t>图4-7</w:t>
      </w:r>
      <w:r>
        <w:rPr>
          <w:rFonts w:hint="eastAsia" w:ascii="Times New Roman" w:hAnsi="Times New Roman" w:eastAsia="黑体" w:cs="Times New Roman"/>
          <w:color w:val="0000CC"/>
          <w:sz w:val="24"/>
          <w:szCs w:val="21"/>
          <w:lang w:val="en-US" w:eastAsia="zh-CN"/>
        </w:rPr>
        <w:t xml:space="preserve"> </w:t>
      </w:r>
      <w:r>
        <w:rPr>
          <w:rFonts w:hint="eastAsia" w:ascii="Times New Roman" w:hAnsi="Times New Roman" w:eastAsia="黑体" w:cs="Times New Roman"/>
          <w:color w:val="0000CC"/>
          <w:sz w:val="24"/>
          <w:szCs w:val="21"/>
        </w:rPr>
        <w:t>总体布局图（叠加生态保护红线和自然保护地）</w:t>
      </w:r>
    </w:p>
    <w:p w14:paraId="19967D32">
      <w:pPr>
        <w:spacing w:line="360" w:lineRule="auto"/>
        <w:ind w:firstLine="480" w:firstLineChars="200"/>
        <w:rPr>
          <w:rStyle w:val="29"/>
          <w:rFonts w:hint="eastAsia"/>
          <w:color w:val="1901FB"/>
          <w:sz w:val="24"/>
          <w:szCs w:val="24"/>
          <w:lang w:eastAsia="zh-CN"/>
        </w:rPr>
      </w:pPr>
      <w:r>
        <w:rPr>
          <w:rStyle w:val="29"/>
          <w:rFonts w:hint="eastAsia"/>
          <w:color w:val="1901FB"/>
          <w:sz w:val="24"/>
          <w:szCs w:val="24"/>
          <w:lang w:eastAsia="zh-CN"/>
        </w:rPr>
        <w:t>昌都市草原生态保护修复与草业发展规划的草原功能分区是是按照行政区划分的，例如，定清晰被划定为“生态保护优先区”，但这并非表示该县仅做保护，不做生态修复、也不发展利用草原，而是主攻方向是草原生态保护优先，但是也要根据该县的具体情况，做好退化草原生态修复和草原发展利用工作。</w:t>
      </w:r>
    </w:p>
    <w:p w14:paraId="29EB2E91">
      <w:pPr>
        <w:spacing w:line="360" w:lineRule="auto"/>
        <w:ind w:firstLine="480" w:firstLineChars="200"/>
        <w:rPr>
          <w:rStyle w:val="29"/>
          <w:rFonts w:hint="eastAsia"/>
          <w:color w:val="1901FB"/>
          <w:sz w:val="24"/>
          <w:szCs w:val="24"/>
          <w:lang w:eastAsia="zh-CN"/>
        </w:rPr>
      </w:pPr>
      <w:r>
        <w:rPr>
          <w:rStyle w:val="29"/>
          <w:rFonts w:hint="eastAsia"/>
          <w:color w:val="1901FB"/>
          <w:sz w:val="24"/>
          <w:szCs w:val="24"/>
          <w:lang w:eastAsia="zh-CN"/>
        </w:rPr>
        <w:t>针对各区县草原保护修复面临的问题、草业发展条件等，提出了生态保护核心、修复重点举措和草业发展利用主攻方向等，具体如下表所示所示。</w:t>
      </w:r>
    </w:p>
    <w:p w14:paraId="479B3A1D">
      <w:pPr>
        <w:spacing w:beforeLines="50" w:afterLines="50"/>
        <w:jc w:val="center"/>
        <w:rPr>
          <w:rStyle w:val="27"/>
          <w:rFonts w:ascii="Times New Roman" w:hAnsi="Times New Roman" w:eastAsia="黑体"/>
          <w:sz w:val="24"/>
          <w:szCs w:val="24"/>
          <w:shd w:val="clear" w:color="auto" w:fill="FFFFFF"/>
        </w:rPr>
      </w:pPr>
      <w:r>
        <w:rPr>
          <w:rFonts w:hint="eastAsia" w:ascii="Times New Roman" w:hAnsi="Times New Roman" w:eastAsia="黑体" w:cs="Times New Roman"/>
          <w:sz w:val="24"/>
          <w:szCs w:val="21"/>
        </w:rPr>
        <w:t>表4-3各县区草原保护生态修复和草业发展主要内容一览表</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8"/>
        <w:gridCol w:w="855"/>
        <w:gridCol w:w="3208"/>
        <w:gridCol w:w="2417"/>
        <w:gridCol w:w="2109"/>
      </w:tblGrid>
      <w:tr w14:paraId="7D2B9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blHeader/>
        </w:trPr>
        <w:tc>
          <w:tcPr>
            <w:tcW w:w="578" w:type="dxa"/>
            <w:vAlign w:val="center"/>
          </w:tcPr>
          <w:p w14:paraId="673F5F80">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功能分区</w:t>
            </w:r>
          </w:p>
        </w:tc>
        <w:tc>
          <w:tcPr>
            <w:tcW w:w="855" w:type="dxa"/>
            <w:vAlign w:val="center"/>
          </w:tcPr>
          <w:p w14:paraId="4337A421">
            <w:pPr>
              <w:jc w:val="center"/>
              <w:rPr>
                <w:rStyle w:val="27"/>
                <w:rFonts w:ascii="Times New Roman" w:cs="Times New Roman" w:hAnsiTheme="minorEastAsia"/>
                <w:b w:val="0"/>
                <w:bCs/>
                <w:szCs w:val="21"/>
                <w:shd w:val="clear" w:color="auto" w:fill="FFFFFF"/>
              </w:rPr>
            </w:pPr>
            <w:r>
              <w:rPr>
                <w:rStyle w:val="27"/>
                <w:rFonts w:ascii="Times New Roman" w:cs="Times New Roman" w:hAnsiTheme="minorEastAsia"/>
                <w:b w:val="0"/>
                <w:bCs/>
                <w:szCs w:val="21"/>
                <w:shd w:val="clear" w:color="auto" w:fill="FFFFFF"/>
              </w:rPr>
              <w:t>县</w:t>
            </w:r>
          </w:p>
          <w:p w14:paraId="4D3F6E92">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（区）</w:t>
            </w:r>
          </w:p>
        </w:tc>
        <w:tc>
          <w:tcPr>
            <w:tcW w:w="3208" w:type="dxa"/>
            <w:vAlign w:val="center"/>
          </w:tcPr>
          <w:p w14:paraId="4B2D626F">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生态保护核心</w:t>
            </w:r>
          </w:p>
        </w:tc>
        <w:tc>
          <w:tcPr>
            <w:tcW w:w="2417" w:type="dxa"/>
            <w:vAlign w:val="center"/>
          </w:tcPr>
          <w:p w14:paraId="07CFF9EB">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修复重点举措</w:t>
            </w:r>
          </w:p>
        </w:tc>
        <w:tc>
          <w:tcPr>
            <w:tcW w:w="2109" w:type="dxa"/>
            <w:vAlign w:val="center"/>
          </w:tcPr>
          <w:p w14:paraId="08F7964C">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发展利用方向</w:t>
            </w:r>
          </w:p>
        </w:tc>
      </w:tr>
      <w:tr w14:paraId="688D6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578" w:type="dxa"/>
            <w:vMerge w:val="restart"/>
            <w:vAlign w:val="center"/>
          </w:tcPr>
          <w:p w14:paraId="4F821FC8">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生态保护优先区</w:t>
            </w:r>
          </w:p>
        </w:tc>
        <w:tc>
          <w:tcPr>
            <w:tcW w:w="855" w:type="dxa"/>
            <w:vAlign w:val="center"/>
          </w:tcPr>
          <w:p w14:paraId="3CF5A93D">
            <w:pPr>
              <w:jc w:val="center"/>
              <w:rPr>
                <w:rStyle w:val="27"/>
                <w:rFonts w:ascii="Times New Roman" w:hAnsi="Times New Roman" w:cs="Times New Roman"/>
                <w:b w:val="0"/>
                <w:bCs/>
                <w:szCs w:val="21"/>
                <w:shd w:val="clear" w:color="auto" w:fill="FFFFFF"/>
              </w:rPr>
            </w:pPr>
            <w:r>
              <w:rPr>
                <w:rFonts w:ascii="Times New Roman" w:cs="Times New Roman" w:hAnsiTheme="minorEastAsia"/>
                <w:bCs/>
                <w:szCs w:val="21"/>
              </w:rPr>
              <w:t>丁青县</w:t>
            </w:r>
          </w:p>
        </w:tc>
        <w:tc>
          <w:tcPr>
            <w:tcW w:w="3208" w:type="dxa"/>
            <w:vAlign w:val="center"/>
          </w:tcPr>
          <w:p w14:paraId="3384381D">
            <w:pPr>
              <w:jc w:val="left"/>
              <w:rPr>
                <w:rFonts w:ascii="Times New Roman" w:hAnsi="Times New Roman" w:cs="Times New Roman"/>
                <w:kern w:val="0"/>
                <w:szCs w:val="21"/>
              </w:rPr>
            </w:pPr>
            <w:r>
              <w:rPr>
                <w:rFonts w:ascii="Times New Roman" w:cs="Times New Roman" w:hAnsiTheme="minorEastAsia"/>
                <w:kern w:val="0"/>
                <w:szCs w:val="21"/>
              </w:rPr>
              <w:t>严守生态红线；</w:t>
            </w:r>
            <w:r>
              <w:rPr>
                <w:rFonts w:ascii="Times New Roman" w:cs="Times New Roman" w:hAnsiTheme="minorEastAsia"/>
                <w:szCs w:val="21"/>
              </w:rPr>
              <w:t>加强高寒草甸保护，重点关注怒江上游水源涵养功能；</w:t>
            </w:r>
          </w:p>
          <w:p w14:paraId="24007350">
            <w:pPr>
              <w:jc w:val="left"/>
              <w:rPr>
                <w:rFonts w:ascii="Times New Roman" w:cs="Times New Roman" w:hAnsiTheme="minorEastAsia"/>
                <w:kern w:val="0"/>
                <w:szCs w:val="21"/>
              </w:rPr>
            </w:pPr>
            <w:r>
              <w:rPr>
                <w:rFonts w:ascii="Times New Roman" w:cs="Times New Roman" w:hAnsiTheme="minorEastAsia"/>
                <w:kern w:val="0"/>
                <w:szCs w:val="21"/>
              </w:rPr>
              <w:t>推广</w:t>
            </w:r>
            <w:r>
              <w:rPr>
                <w:rFonts w:hint="eastAsia" w:ascii="Times New Roman" w:hAnsi="Times New Roman" w:cs="Times New Roman"/>
                <w:kern w:val="0"/>
                <w:szCs w:val="21"/>
              </w:rPr>
              <w:t>“</w:t>
            </w:r>
            <w:r>
              <w:rPr>
                <w:rFonts w:ascii="Times New Roman" w:cs="Times New Roman" w:hAnsiTheme="minorEastAsia"/>
                <w:kern w:val="0"/>
                <w:szCs w:val="21"/>
              </w:rPr>
              <w:t>草</w:t>
            </w:r>
            <w:r>
              <w:rPr>
                <w:rFonts w:ascii="Times New Roman" w:hAnsi="Times New Roman" w:cs="Times New Roman"/>
                <w:kern w:val="0"/>
                <w:szCs w:val="21"/>
              </w:rPr>
              <w:t>+</w:t>
            </w:r>
            <w:r>
              <w:rPr>
                <w:rFonts w:ascii="Times New Roman" w:cs="Times New Roman" w:hAnsiTheme="minorEastAsia"/>
                <w:kern w:val="0"/>
                <w:szCs w:val="21"/>
              </w:rPr>
              <w:t>畜</w:t>
            </w:r>
            <w:r>
              <w:rPr>
                <w:rFonts w:ascii="Times New Roman" w:hAnsi="Times New Roman" w:cs="Times New Roman"/>
                <w:kern w:val="0"/>
                <w:szCs w:val="21"/>
              </w:rPr>
              <w:t>+</w:t>
            </w:r>
            <w:r>
              <w:rPr>
                <w:rFonts w:ascii="Times New Roman" w:cs="Times New Roman" w:hAnsiTheme="minorEastAsia"/>
                <w:kern w:val="0"/>
                <w:szCs w:val="21"/>
              </w:rPr>
              <w:t>粪</w:t>
            </w:r>
            <w:r>
              <w:rPr>
                <w:rFonts w:ascii="Times New Roman" w:hAnsi="Times New Roman" w:cs="Times New Roman"/>
                <w:kern w:val="0"/>
                <w:szCs w:val="21"/>
              </w:rPr>
              <w:t>+</w:t>
            </w:r>
            <w:r>
              <w:rPr>
                <w:rFonts w:ascii="Times New Roman" w:cs="Times New Roman" w:hAnsiTheme="minorEastAsia"/>
                <w:kern w:val="0"/>
                <w:szCs w:val="21"/>
              </w:rPr>
              <w:t>肥</w:t>
            </w:r>
            <w:r>
              <w:rPr>
                <w:rFonts w:hint="eastAsia" w:ascii="Times New Roman" w:hAnsi="Times New Roman" w:cs="Times New Roman"/>
                <w:kern w:val="0"/>
                <w:szCs w:val="21"/>
              </w:rPr>
              <w:t>”</w:t>
            </w:r>
            <w:r>
              <w:rPr>
                <w:rFonts w:ascii="Times New Roman" w:cs="Times New Roman" w:hAnsiTheme="minorEastAsia"/>
                <w:kern w:val="0"/>
                <w:szCs w:val="21"/>
              </w:rPr>
              <w:t>循环模式，夏季划区轮牧，冬季舍饲圈养；</w:t>
            </w:r>
          </w:p>
          <w:p w14:paraId="2CE7504E">
            <w:pPr>
              <w:jc w:val="left"/>
              <w:rPr>
                <w:rFonts w:ascii="Times New Roman" w:hAnsi="Times New Roman" w:cs="Times New Roman"/>
                <w:color w:val="0000CC"/>
                <w:szCs w:val="21"/>
              </w:rPr>
            </w:pPr>
            <w:r>
              <w:rPr>
                <w:rFonts w:ascii="Times New Roman" w:cs="Times New Roman" w:hAnsiTheme="minorEastAsia"/>
                <w:color w:val="0000CC"/>
                <w:szCs w:val="21"/>
              </w:rPr>
              <w:t>开展冬虫夏草原生境核心保护；</w:t>
            </w:r>
          </w:p>
        </w:tc>
        <w:tc>
          <w:tcPr>
            <w:tcW w:w="2417" w:type="dxa"/>
            <w:vAlign w:val="center"/>
          </w:tcPr>
          <w:p w14:paraId="5F014652">
            <w:pPr>
              <w:jc w:val="left"/>
              <w:rPr>
                <w:rFonts w:ascii="Times New Roman" w:hAnsi="Times New Roman" w:cs="Times New Roman"/>
                <w:kern w:val="0"/>
                <w:szCs w:val="21"/>
              </w:rPr>
            </w:pPr>
            <w:r>
              <w:rPr>
                <w:rFonts w:ascii="Times New Roman" w:cs="Times New Roman" w:hAnsiTheme="minorEastAsia"/>
                <w:kern w:val="0"/>
                <w:szCs w:val="21"/>
              </w:rPr>
              <w:t>实施草原改良与人工种草，施用生物有机肥；</w:t>
            </w:r>
          </w:p>
          <w:p w14:paraId="6DD46778">
            <w:pPr>
              <w:jc w:val="left"/>
              <w:rPr>
                <w:rFonts w:ascii="Times New Roman" w:hAnsi="Times New Roman" w:cs="Times New Roman"/>
                <w:szCs w:val="21"/>
              </w:rPr>
            </w:pPr>
            <w:r>
              <w:rPr>
                <w:rFonts w:ascii="Times New Roman" w:cs="Times New Roman" w:hAnsiTheme="minorEastAsia"/>
                <w:szCs w:val="21"/>
              </w:rPr>
              <w:t>实施核心区禁牧封育与生物多样性监测；</w:t>
            </w:r>
          </w:p>
        </w:tc>
        <w:tc>
          <w:tcPr>
            <w:tcW w:w="2109" w:type="dxa"/>
            <w:vAlign w:val="center"/>
          </w:tcPr>
          <w:p w14:paraId="4E1D10E3">
            <w:pPr>
              <w:jc w:val="left"/>
              <w:rPr>
                <w:rFonts w:ascii="Times New Roman" w:hAnsi="Times New Roman" w:cs="Times New Roman"/>
                <w:szCs w:val="21"/>
              </w:rPr>
            </w:pPr>
            <w:r>
              <w:rPr>
                <w:rFonts w:ascii="Times New Roman" w:cs="Times New Roman" w:hAnsiTheme="minorEastAsia"/>
                <w:kern w:val="0"/>
                <w:szCs w:val="21"/>
              </w:rPr>
              <w:t>改良退化草场，扩大人工饲草基地，打造</w:t>
            </w:r>
            <w:r>
              <w:rPr>
                <w:rFonts w:hint="eastAsia" w:ascii="Times New Roman" w:hAnsi="Times New Roman" w:cs="Times New Roman"/>
                <w:kern w:val="0"/>
                <w:szCs w:val="21"/>
              </w:rPr>
              <w:t>“</w:t>
            </w:r>
            <w:r>
              <w:rPr>
                <w:rFonts w:ascii="Times New Roman" w:cs="Times New Roman" w:hAnsiTheme="minorEastAsia"/>
                <w:kern w:val="0"/>
                <w:szCs w:val="21"/>
              </w:rPr>
              <w:t>琼布虫草</w:t>
            </w:r>
            <w:r>
              <w:rPr>
                <w:rFonts w:hint="eastAsia" w:ascii="Times New Roman" w:hAnsi="Times New Roman" w:cs="Times New Roman"/>
                <w:kern w:val="0"/>
                <w:szCs w:val="21"/>
              </w:rPr>
              <w:t>”</w:t>
            </w:r>
            <w:r>
              <w:rPr>
                <w:rFonts w:ascii="Times New Roman" w:cs="Times New Roman" w:hAnsiTheme="minorEastAsia"/>
                <w:kern w:val="0"/>
                <w:szCs w:val="21"/>
              </w:rPr>
              <w:t>等特色品牌；</w:t>
            </w:r>
          </w:p>
          <w:p w14:paraId="42B9AEEA">
            <w:pPr>
              <w:jc w:val="left"/>
              <w:rPr>
                <w:rFonts w:ascii="Times New Roman" w:hAnsi="Times New Roman" w:cs="Times New Roman"/>
                <w:szCs w:val="21"/>
              </w:rPr>
            </w:pPr>
            <w:r>
              <w:rPr>
                <w:rFonts w:ascii="Times New Roman" w:cs="Times New Roman" w:hAnsiTheme="minorEastAsia"/>
                <w:szCs w:val="21"/>
              </w:rPr>
              <w:t>发展生态畜牧业，种养结合循环农业；</w:t>
            </w:r>
          </w:p>
        </w:tc>
      </w:tr>
      <w:tr w14:paraId="3D2FE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78" w:type="dxa"/>
            <w:vMerge w:val="continue"/>
            <w:vAlign w:val="center"/>
          </w:tcPr>
          <w:p w14:paraId="3B336DC8">
            <w:pPr>
              <w:jc w:val="center"/>
              <w:rPr>
                <w:rStyle w:val="27"/>
                <w:rFonts w:ascii="Times New Roman" w:hAnsi="Times New Roman" w:cs="Times New Roman"/>
                <w:b w:val="0"/>
                <w:bCs/>
                <w:szCs w:val="21"/>
                <w:shd w:val="clear" w:color="auto" w:fill="FFFFFF"/>
              </w:rPr>
            </w:pPr>
          </w:p>
        </w:tc>
        <w:tc>
          <w:tcPr>
            <w:tcW w:w="855" w:type="dxa"/>
            <w:vAlign w:val="center"/>
          </w:tcPr>
          <w:p w14:paraId="1B7E9EC8">
            <w:pPr>
              <w:jc w:val="center"/>
              <w:rPr>
                <w:rFonts w:ascii="Times New Roman" w:hAnsi="Times New Roman" w:cs="Times New Roman"/>
                <w:bCs/>
                <w:szCs w:val="21"/>
              </w:rPr>
            </w:pPr>
            <w:r>
              <w:rPr>
                <w:rFonts w:ascii="Times New Roman" w:cs="Times New Roman" w:hAnsiTheme="minorEastAsia"/>
                <w:bCs/>
                <w:szCs w:val="21"/>
              </w:rPr>
              <w:t>类乌齐县</w:t>
            </w:r>
          </w:p>
        </w:tc>
        <w:tc>
          <w:tcPr>
            <w:tcW w:w="3208" w:type="dxa"/>
            <w:vAlign w:val="center"/>
          </w:tcPr>
          <w:p w14:paraId="591A2195">
            <w:pPr>
              <w:jc w:val="left"/>
              <w:rPr>
                <w:rFonts w:ascii="Times New Roman" w:hAnsi="Times New Roman" w:cs="Times New Roman"/>
                <w:szCs w:val="21"/>
              </w:rPr>
            </w:pPr>
            <w:r>
              <w:rPr>
                <w:rFonts w:ascii="Times New Roman" w:cs="Times New Roman" w:hAnsiTheme="minorEastAsia"/>
                <w:kern w:val="0"/>
                <w:szCs w:val="21"/>
              </w:rPr>
              <w:t>严守生态红线；</w:t>
            </w:r>
          </w:p>
          <w:p w14:paraId="3B1DC59B">
            <w:pPr>
              <w:jc w:val="left"/>
              <w:rPr>
                <w:rFonts w:ascii="Times New Roman" w:hAnsi="Times New Roman" w:cs="Times New Roman"/>
                <w:kern w:val="0"/>
                <w:szCs w:val="21"/>
              </w:rPr>
            </w:pPr>
            <w:r>
              <w:rPr>
                <w:rFonts w:ascii="Times New Roman" w:cs="Times New Roman" w:hAnsiTheme="minorEastAsia"/>
                <w:szCs w:val="21"/>
              </w:rPr>
              <w:t>保护高寒草甸，</w:t>
            </w:r>
            <w:r>
              <w:rPr>
                <w:rFonts w:ascii="Times New Roman" w:cs="Times New Roman" w:hAnsiTheme="minorEastAsia"/>
                <w:kern w:val="0"/>
                <w:szCs w:val="21"/>
              </w:rPr>
              <w:t>加强紫曲河国家湿地公园周边草原保护，提升草原生态质量；</w:t>
            </w:r>
          </w:p>
          <w:p w14:paraId="09945BBE">
            <w:pPr>
              <w:jc w:val="left"/>
              <w:rPr>
                <w:rFonts w:ascii="Times New Roman" w:cs="Times New Roman" w:hAnsiTheme="minorEastAsia"/>
                <w:kern w:val="0"/>
                <w:szCs w:val="21"/>
              </w:rPr>
            </w:pPr>
            <w:r>
              <w:rPr>
                <w:rFonts w:ascii="Times New Roman" w:cs="Times New Roman" w:hAnsiTheme="minorEastAsia"/>
                <w:szCs w:val="21"/>
              </w:rPr>
              <w:t>依托大面积草原资源，推进天然草原改良与人工草地建设，</w:t>
            </w:r>
            <w:r>
              <w:rPr>
                <w:rFonts w:ascii="Times New Roman" w:cs="Times New Roman" w:hAnsiTheme="minorEastAsia"/>
                <w:kern w:val="0"/>
                <w:szCs w:val="21"/>
              </w:rPr>
              <w:t>推进草畜平衡与科学放牧；</w:t>
            </w:r>
          </w:p>
          <w:p w14:paraId="6BF5F8EC">
            <w:pPr>
              <w:jc w:val="left"/>
              <w:rPr>
                <w:rFonts w:ascii="Times New Roman" w:hAnsi="Times New Roman" w:cs="Times New Roman"/>
                <w:color w:val="0000CC"/>
                <w:szCs w:val="21"/>
              </w:rPr>
            </w:pPr>
            <w:r>
              <w:rPr>
                <w:rFonts w:ascii="Times New Roman" w:cs="Times New Roman" w:hAnsiTheme="minorEastAsia"/>
                <w:color w:val="0000CC"/>
                <w:szCs w:val="21"/>
              </w:rPr>
              <w:t>开展冬虫夏草原生境核心保护；</w:t>
            </w:r>
          </w:p>
        </w:tc>
        <w:tc>
          <w:tcPr>
            <w:tcW w:w="2417" w:type="dxa"/>
            <w:vAlign w:val="center"/>
          </w:tcPr>
          <w:p w14:paraId="3B04EF1F">
            <w:pPr>
              <w:widowControl/>
              <w:jc w:val="left"/>
              <w:rPr>
                <w:rFonts w:ascii="Times New Roman" w:hAnsi="Times New Roman" w:cs="Times New Roman"/>
                <w:kern w:val="0"/>
                <w:szCs w:val="21"/>
              </w:rPr>
            </w:pPr>
            <w:r>
              <w:rPr>
                <w:rFonts w:ascii="Times New Roman" w:cs="Times New Roman" w:hAnsiTheme="minorEastAsia"/>
                <w:kern w:val="0"/>
                <w:szCs w:val="21"/>
              </w:rPr>
              <w:t>草原生态质量提升与退化修复；</w:t>
            </w:r>
          </w:p>
          <w:p w14:paraId="4790DCE9">
            <w:pPr>
              <w:widowControl/>
              <w:jc w:val="left"/>
              <w:rPr>
                <w:rFonts w:ascii="Times New Roman" w:hAnsi="Times New Roman" w:cs="Times New Roman"/>
                <w:szCs w:val="21"/>
              </w:rPr>
            </w:pPr>
            <w:r>
              <w:rPr>
                <w:rFonts w:ascii="Times New Roman" w:cs="Times New Roman" w:hAnsiTheme="minorEastAsia"/>
                <w:kern w:val="0"/>
                <w:szCs w:val="21"/>
              </w:rPr>
              <w:t>加强对</w:t>
            </w:r>
            <w:r>
              <w:rPr>
                <w:rFonts w:ascii="Times New Roman" w:cs="Times New Roman" w:hAnsiTheme="minorEastAsia"/>
                <w:szCs w:val="21"/>
              </w:rPr>
              <w:t>重度、中度、轻度退化草原的生态修复；</w:t>
            </w:r>
          </w:p>
        </w:tc>
        <w:tc>
          <w:tcPr>
            <w:tcW w:w="2109" w:type="dxa"/>
            <w:vAlign w:val="center"/>
          </w:tcPr>
          <w:p w14:paraId="464C186D">
            <w:pPr>
              <w:jc w:val="left"/>
              <w:rPr>
                <w:rFonts w:ascii="Times New Roman" w:hAnsi="Times New Roman" w:cs="Times New Roman"/>
                <w:szCs w:val="21"/>
              </w:rPr>
            </w:pPr>
            <w:r>
              <w:rPr>
                <w:rFonts w:ascii="Times New Roman" w:cs="Times New Roman" w:hAnsiTheme="minorEastAsia"/>
                <w:kern w:val="0"/>
                <w:szCs w:val="21"/>
              </w:rPr>
              <w:t>发展草原康养旅游，结合类乌齐牦牛养殖，打造生态畜产品与文旅融合品牌；</w:t>
            </w:r>
          </w:p>
        </w:tc>
      </w:tr>
      <w:tr w14:paraId="2378B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78" w:type="dxa"/>
            <w:vMerge w:val="continue"/>
            <w:vAlign w:val="center"/>
          </w:tcPr>
          <w:p w14:paraId="6566F939">
            <w:pPr>
              <w:jc w:val="center"/>
              <w:rPr>
                <w:rStyle w:val="27"/>
                <w:rFonts w:ascii="Times New Roman" w:hAnsi="Times New Roman" w:cs="Times New Roman"/>
                <w:b w:val="0"/>
                <w:bCs/>
                <w:szCs w:val="21"/>
                <w:shd w:val="clear" w:color="auto" w:fill="FFFFFF"/>
              </w:rPr>
            </w:pPr>
          </w:p>
        </w:tc>
        <w:tc>
          <w:tcPr>
            <w:tcW w:w="855" w:type="dxa"/>
            <w:vAlign w:val="center"/>
          </w:tcPr>
          <w:p w14:paraId="2A16F86D">
            <w:pPr>
              <w:jc w:val="center"/>
              <w:rPr>
                <w:rFonts w:ascii="Times New Roman" w:hAnsi="Times New Roman" w:cs="Times New Roman"/>
                <w:bCs/>
                <w:szCs w:val="21"/>
              </w:rPr>
            </w:pPr>
            <w:r>
              <w:rPr>
                <w:rFonts w:ascii="Times New Roman" w:cs="Times New Roman" w:hAnsiTheme="minorEastAsia"/>
                <w:bCs/>
                <w:szCs w:val="21"/>
              </w:rPr>
              <w:t>察雅县</w:t>
            </w:r>
          </w:p>
        </w:tc>
        <w:tc>
          <w:tcPr>
            <w:tcW w:w="3208" w:type="dxa"/>
            <w:vAlign w:val="center"/>
          </w:tcPr>
          <w:p w14:paraId="30DCB330">
            <w:pPr>
              <w:jc w:val="left"/>
              <w:rPr>
                <w:rFonts w:ascii="Times New Roman" w:hAnsi="Times New Roman" w:cs="Times New Roman"/>
                <w:szCs w:val="21"/>
              </w:rPr>
            </w:pPr>
            <w:r>
              <w:rPr>
                <w:rFonts w:ascii="Times New Roman" w:cs="Times New Roman" w:hAnsiTheme="minorEastAsia"/>
                <w:kern w:val="0"/>
                <w:szCs w:val="21"/>
              </w:rPr>
              <w:t>严守生态红线；实施草原生态保护工程，开展退化草场改良；</w:t>
            </w:r>
          </w:p>
        </w:tc>
        <w:tc>
          <w:tcPr>
            <w:tcW w:w="2417" w:type="dxa"/>
            <w:vAlign w:val="center"/>
          </w:tcPr>
          <w:p w14:paraId="2D132499">
            <w:pPr>
              <w:jc w:val="left"/>
              <w:rPr>
                <w:rFonts w:ascii="Times New Roman" w:hAnsi="Times New Roman" w:cs="Times New Roman"/>
                <w:kern w:val="0"/>
                <w:szCs w:val="21"/>
              </w:rPr>
            </w:pPr>
            <w:r>
              <w:rPr>
                <w:rFonts w:ascii="Times New Roman" w:cs="Times New Roman" w:hAnsiTheme="minorEastAsia"/>
                <w:kern w:val="0"/>
                <w:szCs w:val="21"/>
              </w:rPr>
              <w:t>退化草场改良与人工饲草种植；</w:t>
            </w:r>
          </w:p>
          <w:p w14:paraId="05F0D62B">
            <w:pPr>
              <w:jc w:val="left"/>
              <w:rPr>
                <w:rFonts w:ascii="Times New Roman" w:hAnsi="Times New Roman" w:cs="Times New Roman"/>
                <w:szCs w:val="21"/>
              </w:rPr>
            </w:pPr>
            <w:r>
              <w:rPr>
                <w:rFonts w:ascii="Times New Roman" w:cs="Times New Roman" w:hAnsiTheme="minorEastAsia"/>
                <w:szCs w:val="21"/>
              </w:rPr>
              <w:t>主要对毒害草型退化草原进行生态修复；</w:t>
            </w:r>
          </w:p>
          <w:p w14:paraId="50712F96">
            <w:pPr>
              <w:jc w:val="left"/>
              <w:rPr>
                <w:rFonts w:ascii="Times New Roman" w:hAnsi="Times New Roman" w:cs="Times New Roman"/>
                <w:szCs w:val="21"/>
              </w:rPr>
            </w:pPr>
            <w:r>
              <w:rPr>
                <w:rFonts w:ascii="Times New Roman" w:cs="Times New Roman" w:hAnsiTheme="minorEastAsia"/>
                <w:szCs w:val="21"/>
              </w:rPr>
              <w:t>防控草原火灾；</w:t>
            </w:r>
          </w:p>
        </w:tc>
        <w:tc>
          <w:tcPr>
            <w:tcW w:w="2109" w:type="dxa"/>
            <w:vAlign w:val="center"/>
          </w:tcPr>
          <w:p w14:paraId="1DCBD022">
            <w:pPr>
              <w:jc w:val="left"/>
              <w:rPr>
                <w:rFonts w:ascii="Times New Roman" w:hAnsi="Times New Roman" w:cs="Times New Roman"/>
                <w:szCs w:val="21"/>
              </w:rPr>
            </w:pPr>
            <w:r>
              <w:rPr>
                <w:rFonts w:ascii="Times New Roman" w:cs="Times New Roman" w:hAnsiTheme="minorEastAsia"/>
                <w:kern w:val="0"/>
                <w:szCs w:val="21"/>
              </w:rPr>
              <w:t>发展饲草种植与牦牛、藏羊养殖，推进种养结合循环农业，发展特色草牧业发展；</w:t>
            </w:r>
          </w:p>
        </w:tc>
      </w:tr>
      <w:tr w14:paraId="65336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78" w:type="dxa"/>
            <w:vMerge w:val="continue"/>
            <w:vAlign w:val="center"/>
          </w:tcPr>
          <w:p w14:paraId="0B3BA2F6">
            <w:pPr>
              <w:jc w:val="center"/>
              <w:rPr>
                <w:rStyle w:val="27"/>
                <w:rFonts w:ascii="Times New Roman" w:hAnsi="Times New Roman" w:cs="Times New Roman"/>
                <w:b w:val="0"/>
                <w:bCs/>
                <w:szCs w:val="21"/>
                <w:shd w:val="clear" w:color="auto" w:fill="FFFFFF"/>
              </w:rPr>
            </w:pPr>
          </w:p>
        </w:tc>
        <w:tc>
          <w:tcPr>
            <w:tcW w:w="855" w:type="dxa"/>
            <w:vAlign w:val="center"/>
          </w:tcPr>
          <w:p w14:paraId="0A4B94F9">
            <w:pPr>
              <w:jc w:val="center"/>
              <w:rPr>
                <w:rFonts w:ascii="Times New Roman" w:hAnsi="Times New Roman" w:cs="Times New Roman"/>
                <w:bCs/>
                <w:szCs w:val="21"/>
              </w:rPr>
            </w:pPr>
            <w:r>
              <w:rPr>
                <w:rFonts w:ascii="Times New Roman" w:cs="Times New Roman" w:hAnsiTheme="minorEastAsia"/>
                <w:bCs/>
                <w:szCs w:val="21"/>
              </w:rPr>
              <w:t>江达县</w:t>
            </w:r>
          </w:p>
        </w:tc>
        <w:tc>
          <w:tcPr>
            <w:tcW w:w="3208" w:type="dxa"/>
            <w:vAlign w:val="center"/>
          </w:tcPr>
          <w:p w14:paraId="5BA8980C">
            <w:pPr>
              <w:jc w:val="left"/>
              <w:rPr>
                <w:rFonts w:ascii="Times New Roman" w:hAnsi="Times New Roman" w:cs="Times New Roman"/>
                <w:kern w:val="0"/>
                <w:szCs w:val="21"/>
              </w:rPr>
            </w:pPr>
            <w:r>
              <w:rPr>
                <w:rFonts w:ascii="Times New Roman" w:cs="Times New Roman" w:hAnsiTheme="minorEastAsia"/>
                <w:kern w:val="0"/>
                <w:szCs w:val="21"/>
              </w:rPr>
              <w:t>维持草原综合覆盖度稳定在</w:t>
            </w:r>
            <w:r>
              <w:rPr>
                <w:rFonts w:ascii="Times New Roman" w:hAnsi="Times New Roman" w:cs="Times New Roman"/>
                <w:kern w:val="0"/>
                <w:szCs w:val="21"/>
              </w:rPr>
              <w:t>79%</w:t>
            </w:r>
            <w:r>
              <w:rPr>
                <w:rFonts w:ascii="Times New Roman" w:cs="Times New Roman" w:hAnsiTheme="minorEastAsia"/>
                <w:kern w:val="0"/>
                <w:szCs w:val="21"/>
              </w:rPr>
              <w:t>以上，加强草原生态监测与管护；</w:t>
            </w:r>
          </w:p>
          <w:p w14:paraId="44A755C7">
            <w:pPr>
              <w:jc w:val="left"/>
              <w:rPr>
                <w:rFonts w:ascii="Times New Roman" w:cs="Times New Roman" w:hAnsiTheme="minorEastAsia"/>
                <w:kern w:val="0"/>
                <w:szCs w:val="21"/>
              </w:rPr>
            </w:pPr>
            <w:r>
              <w:rPr>
                <w:rFonts w:ascii="Times New Roman" w:cs="Times New Roman" w:hAnsiTheme="minorEastAsia"/>
                <w:kern w:val="0"/>
                <w:szCs w:val="21"/>
              </w:rPr>
              <w:t>推广草畜平衡、划区轮牧模式；</w:t>
            </w:r>
          </w:p>
          <w:p w14:paraId="0BEF371B">
            <w:pPr>
              <w:jc w:val="left"/>
              <w:rPr>
                <w:rFonts w:ascii="Times New Roman" w:hAnsi="Times New Roman" w:cs="Times New Roman"/>
                <w:color w:val="0000CC"/>
                <w:szCs w:val="21"/>
              </w:rPr>
            </w:pPr>
            <w:r>
              <w:rPr>
                <w:rFonts w:ascii="Times New Roman" w:cs="Times New Roman" w:hAnsiTheme="minorEastAsia"/>
                <w:color w:val="0000CC"/>
                <w:kern w:val="0"/>
                <w:szCs w:val="21"/>
              </w:rPr>
              <w:t>保护草原生态，推进草原退化修复，保障长江上游生态安全；</w:t>
            </w:r>
          </w:p>
        </w:tc>
        <w:tc>
          <w:tcPr>
            <w:tcW w:w="2417" w:type="dxa"/>
            <w:vAlign w:val="center"/>
          </w:tcPr>
          <w:p w14:paraId="5E2B1A57">
            <w:pPr>
              <w:jc w:val="left"/>
              <w:rPr>
                <w:rFonts w:ascii="Times New Roman" w:hAnsi="Times New Roman" w:cs="Times New Roman"/>
                <w:kern w:val="0"/>
                <w:szCs w:val="21"/>
              </w:rPr>
            </w:pPr>
            <w:r>
              <w:rPr>
                <w:rFonts w:ascii="Times New Roman" w:cs="Times New Roman" w:hAnsiTheme="minorEastAsia"/>
                <w:szCs w:val="21"/>
              </w:rPr>
              <w:t>推进金沙江流域草原生态治理。</w:t>
            </w:r>
          </w:p>
          <w:p w14:paraId="66BE0FD4">
            <w:pPr>
              <w:jc w:val="left"/>
              <w:rPr>
                <w:rFonts w:ascii="Times New Roman" w:cs="Times New Roman" w:hAnsiTheme="minorEastAsia"/>
                <w:kern w:val="0"/>
                <w:szCs w:val="21"/>
              </w:rPr>
            </w:pPr>
            <w:r>
              <w:rPr>
                <w:rFonts w:ascii="Times New Roman" w:cs="Times New Roman" w:hAnsiTheme="minorEastAsia"/>
                <w:kern w:val="0"/>
                <w:szCs w:val="21"/>
              </w:rPr>
              <w:t>生态监测与退化修复，推进划区轮牧；主攻轻度退化草原治理与鼠害防治；</w:t>
            </w:r>
          </w:p>
          <w:p w14:paraId="5E62B1A8">
            <w:pPr>
              <w:jc w:val="left"/>
              <w:rPr>
                <w:rFonts w:ascii="Times New Roman" w:hAnsi="Times New Roman" w:cs="Times New Roman"/>
                <w:kern w:val="0"/>
                <w:szCs w:val="21"/>
              </w:rPr>
            </w:pPr>
            <w:r>
              <w:rPr>
                <w:rFonts w:hint="eastAsia" w:ascii="Times New Roman" w:cs="Times New Roman" w:hAnsiTheme="minorEastAsia"/>
                <w:kern w:val="0"/>
                <w:szCs w:val="21"/>
              </w:rPr>
              <w:t>开展江达县青泥洞乡黑土滩、裸斑治理工作；</w:t>
            </w:r>
          </w:p>
          <w:p w14:paraId="298EA205">
            <w:pPr>
              <w:jc w:val="left"/>
              <w:rPr>
                <w:rFonts w:ascii="Times New Roman" w:hAnsi="Times New Roman" w:cs="Times New Roman"/>
                <w:szCs w:val="21"/>
              </w:rPr>
            </w:pPr>
            <w:r>
              <w:rPr>
                <w:rFonts w:ascii="Times New Roman" w:cs="Times New Roman" w:hAnsiTheme="minorEastAsia"/>
                <w:kern w:val="0"/>
                <w:szCs w:val="21"/>
              </w:rPr>
              <w:t>完善防火与鼠虫害防控体系；</w:t>
            </w:r>
          </w:p>
        </w:tc>
        <w:tc>
          <w:tcPr>
            <w:tcW w:w="2109" w:type="dxa"/>
            <w:vAlign w:val="center"/>
          </w:tcPr>
          <w:p w14:paraId="5D956738">
            <w:pPr>
              <w:jc w:val="left"/>
              <w:rPr>
                <w:rFonts w:ascii="Times New Roman" w:hAnsi="Times New Roman" w:cs="Times New Roman"/>
                <w:szCs w:val="21"/>
              </w:rPr>
            </w:pPr>
            <w:r>
              <w:rPr>
                <w:rFonts w:ascii="Times New Roman" w:cs="Times New Roman" w:hAnsiTheme="minorEastAsia"/>
                <w:kern w:val="0"/>
                <w:szCs w:val="21"/>
              </w:rPr>
              <w:t>草原生态保护与修复，打造生态旅游与特色畜牧业融合发展区；</w:t>
            </w:r>
          </w:p>
        </w:tc>
      </w:tr>
      <w:tr w14:paraId="762AB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578" w:type="dxa"/>
            <w:vMerge w:val="restart"/>
            <w:vAlign w:val="center"/>
          </w:tcPr>
          <w:p w14:paraId="121CC683">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生态修复重点区</w:t>
            </w:r>
          </w:p>
        </w:tc>
        <w:tc>
          <w:tcPr>
            <w:tcW w:w="855" w:type="dxa"/>
            <w:vAlign w:val="center"/>
          </w:tcPr>
          <w:p w14:paraId="055C736C">
            <w:pPr>
              <w:jc w:val="center"/>
              <w:rPr>
                <w:rStyle w:val="27"/>
                <w:rFonts w:ascii="Times New Roman" w:hAnsi="Times New Roman" w:cs="Times New Roman"/>
                <w:b w:val="0"/>
                <w:bCs/>
                <w:szCs w:val="21"/>
                <w:shd w:val="clear" w:color="auto" w:fill="FFFFFF"/>
              </w:rPr>
            </w:pPr>
            <w:r>
              <w:rPr>
                <w:rFonts w:ascii="Times New Roman" w:cs="Times New Roman" w:hAnsiTheme="minorEastAsia"/>
                <w:bCs/>
                <w:szCs w:val="21"/>
              </w:rPr>
              <w:t>八宿县</w:t>
            </w:r>
          </w:p>
        </w:tc>
        <w:tc>
          <w:tcPr>
            <w:tcW w:w="3208" w:type="dxa"/>
            <w:vAlign w:val="center"/>
          </w:tcPr>
          <w:p w14:paraId="6BC869C2">
            <w:pPr>
              <w:jc w:val="left"/>
              <w:rPr>
                <w:rFonts w:ascii="Times New Roman" w:hAnsi="Times New Roman" w:cs="Times New Roman"/>
                <w:kern w:val="0"/>
                <w:szCs w:val="21"/>
              </w:rPr>
            </w:pPr>
            <w:r>
              <w:rPr>
                <w:rFonts w:ascii="Times New Roman" w:cs="Times New Roman" w:hAnsiTheme="minorEastAsia"/>
                <w:kern w:val="0"/>
                <w:szCs w:val="21"/>
              </w:rPr>
              <w:t>严守生态红线；加强然乌湖周边草原生态保护，筑牢森林草原防火体系建设；</w:t>
            </w:r>
          </w:p>
          <w:p w14:paraId="6805379D">
            <w:pPr>
              <w:jc w:val="left"/>
              <w:rPr>
                <w:rFonts w:ascii="Times New Roman" w:cs="Times New Roman" w:hAnsiTheme="minorEastAsia"/>
                <w:kern w:val="0"/>
                <w:szCs w:val="21"/>
              </w:rPr>
            </w:pPr>
            <w:r>
              <w:rPr>
                <w:rFonts w:hint="eastAsia" w:ascii="Times New Roman" w:cs="Times New Roman" w:hAnsiTheme="minorEastAsia"/>
                <w:kern w:val="0"/>
                <w:szCs w:val="21"/>
              </w:rPr>
              <w:t>将邦达机场周边至郭庆乡一线的草场列入重点修复区；</w:t>
            </w:r>
          </w:p>
          <w:p w14:paraId="5FEA41BD">
            <w:pPr>
              <w:jc w:val="left"/>
              <w:rPr>
                <w:rFonts w:ascii="Times New Roman" w:hAnsi="Times New Roman" w:cs="Times New Roman"/>
                <w:szCs w:val="21"/>
              </w:rPr>
            </w:pPr>
            <w:r>
              <w:rPr>
                <w:rFonts w:ascii="Times New Roman" w:cs="Times New Roman" w:hAnsiTheme="minorEastAsia"/>
                <w:color w:val="0000CC"/>
                <w:kern w:val="0"/>
                <w:szCs w:val="21"/>
              </w:rPr>
              <w:t>保护草原生态，推进草原退化修复，保障</w:t>
            </w:r>
            <w:r>
              <w:rPr>
                <w:rFonts w:hint="eastAsia" w:ascii="Times New Roman" w:cs="Times New Roman" w:hAnsiTheme="minorEastAsia"/>
                <w:color w:val="0000CC"/>
                <w:kern w:val="0"/>
                <w:szCs w:val="21"/>
              </w:rPr>
              <w:t>高黎贡山</w:t>
            </w:r>
            <w:r>
              <w:rPr>
                <w:rFonts w:ascii="Times New Roman" w:cs="Times New Roman" w:hAnsiTheme="minorEastAsia"/>
                <w:color w:val="0000CC"/>
                <w:kern w:val="0"/>
                <w:szCs w:val="21"/>
              </w:rPr>
              <w:t>生态安全；</w:t>
            </w:r>
          </w:p>
        </w:tc>
        <w:tc>
          <w:tcPr>
            <w:tcW w:w="2417" w:type="dxa"/>
            <w:vAlign w:val="center"/>
          </w:tcPr>
          <w:p w14:paraId="3E332AD4">
            <w:pPr>
              <w:jc w:val="left"/>
              <w:rPr>
                <w:rFonts w:ascii="Times New Roman" w:cs="Times New Roman" w:hAnsiTheme="minorEastAsia"/>
                <w:kern w:val="0"/>
                <w:szCs w:val="21"/>
              </w:rPr>
            </w:pPr>
            <w:r>
              <w:rPr>
                <w:rFonts w:ascii="Times New Roman" w:cs="Times New Roman" w:hAnsiTheme="minorEastAsia"/>
                <w:kern w:val="0"/>
                <w:szCs w:val="21"/>
              </w:rPr>
              <w:t>草原生态修复与防火设施建设；</w:t>
            </w:r>
          </w:p>
          <w:p w14:paraId="33BA8623">
            <w:pPr>
              <w:jc w:val="left"/>
              <w:rPr>
                <w:rFonts w:ascii="Times New Roman" w:cs="Times New Roman" w:hAnsiTheme="minorEastAsia"/>
                <w:kern w:val="0"/>
                <w:szCs w:val="21"/>
              </w:rPr>
            </w:pPr>
            <w:r>
              <w:rPr>
                <w:rFonts w:ascii="Times New Roman" w:cs="Times New Roman" w:hAnsiTheme="minorEastAsia"/>
                <w:kern w:val="0"/>
                <w:szCs w:val="21"/>
              </w:rPr>
              <w:t>重点对</w:t>
            </w:r>
            <w:r>
              <w:rPr>
                <w:rFonts w:ascii="Times New Roman" w:cs="Times New Roman" w:hAnsiTheme="minorEastAsia"/>
                <w:szCs w:val="21"/>
              </w:rPr>
              <w:t>重度、中度、轻度退化草原生态修复，治理</w:t>
            </w:r>
            <w:r>
              <w:rPr>
                <w:rFonts w:ascii="Times New Roman" w:cs="Times New Roman" w:hAnsiTheme="minorEastAsia"/>
                <w:kern w:val="0"/>
                <w:szCs w:val="21"/>
              </w:rPr>
              <w:t>沙化型退化草原，治理黑土滩和毒害草；</w:t>
            </w:r>
            <w:r>
              <w:rPr>
                <w:rFonts w:hint="eastAsia" w:ascii="Times New Roman" w:cs="Times New Roman" w:hAnsiTheme="minorEastAsia"/>
                <w:kern w:val="0"/>
                <w:szCs w:val="21"/>
              </w:rPr>
              <w:t>治理</w:t>
            </w:r>
            <w:r>
              <w:rPr>
                <w:rFonts w:ascii="Times New Roman" w:hAnsi="Times New Roman" w:cs="Times New Roman"/>
                <w:szCs w:val="21"/>
              </w:rPr>
              <w:t>鼠害</w:t>
            </w:r>
            <w:r>
              <w:rPr>
                <w:rFonts w:hint="eastAsia" w:ascii="Times New Roman" w:hAnsi="Times New Roman" w:cs="Times New Roman"/>
                <w:szCs w:val="21"/>
              </w:rPr>
              <w:t>、</w:t>
            </w:r>
            <w:r>
              <w:rPr>
                <w:rFonts w:ascii="Times New Roman" w:hAnsi="Times New Roman" w:cs="Times New Roman"/>
                <w:szCs w:val="21"/>
              </w:rPr>
              <w:t>风蚀；</w:t>
            </w:r>
          </w:p>
          <w:p w14:paraId="460B144D">
            <w:pPr>
              <w:jc w:val="left"/>
              <w:rPr>
                <w:rFonts w:ascii="Times New Roman" w:hAnsi="Times New Roman" w:cs="Times New Roman"/>
                <w:szCs w:val="21"/>
              </w:rPr>
            </w:pPr>
            <w:r>
              <w:rPr>
                <w:rFonts w:ascii="Times New Roman" w:cs="Times New Roman" w:hAnsiTheme="minorEastAsia"/>
                <w:szCs w:val="21"/>
              </w:rPr>
              <w:t>接入数字孪生系统实施智慧监测；</w:t>
            </w:r>
          </w:p>
        </w:tc>
        <w:tc>
          <w:tcPr>
            <w:tcW w:w="2109" w:type="dxa"/>
            <w:vAlign w:val="center"/>
          </w:tcPr>
          <w:p w14:paraId="05E9EF44">
            <w:pPr>
              <w:jc w:val="left"/>
              <w:rPr>
                <w:rFonts w:ascii="Times New Roman" w:hAnsi="Times New Roman" w:cs="Times New Roman"/>
                <w:szCs w:val="21"/>
              </w:rPr>
            </w:pPr>
            <w:r>
              <w:rPr>
                <w:rFonts w:ascii="Times New Roman" w:cs="Times New Roman" w:hAnsiTheme="minorEastAsia"/>
                <w:kern w:val="0"/>
                <w:szCs w:val="21"/>
              </w:rPr>
              <w:t>结合然乌湖等旅游资源，开发草原生态体验项目，配套饲草基地建设，保障畜牧业发展；</w:t>
            </w:r>
          </w:p>
        </w:tc>
      </w:tr>
      <w:tr w14:paraId="2CFCD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578" w:type="dxa"/>
            <w:vMerge w:val="continue"/>
            <w:vAlign w:val="center"/>
          </w:tcPr>
          <w:p w14:paraId="585C401E">
            <w:pPr>
              <w:jc w:val="center"/>
              <w:rPr>
                <w:rStyle w:val="27"/>
                <w:rFonts w:ascii="Times New Roman" w:hAnsi="Times New Roman" w:cs="Times New Roman"/>
                <w:b w:val="0"/>
                <w:bCs/>
                <w:szCs w:val="21"/>
                <w:shd w:val="clear" w:color="auto" w:fill="FFFFFF"/>
              </w:rPr>
            </w:pPr>
          </w:p>
        </w:tc>
        <w:tc>
          <w:tcPr>
            <w:tcW w:w="855" w:type="dxa"/>
            <w:vAlign w:val="center"/>
          </w:tcPr>
          <w:p w14:paraId="4A08369E">
            <w:pPr>
              <w:jc w:val="center"/>
              <w:rPr>
                <w:rFonts w:ascii="Times New Roman" w:hAnsi="Times New Roman" w:cs="Times New Roman"/>
                <w:bCs/>
                <w:szCs w:val="21"/>
              </w:rPr>
            </w:pPr>
            <w:r>
              <w:rPr>
                <w:rFonts w:ascii="Times New Roman" w:cs="Times New Roman" w:hAnsiTheme="minorEastAsia"/>
                <w:bCs/>
                <w:szCs w:val="21"/>
              </w:rPr>
              <w:t>左贡县</w:t>
            </w:r>
          </w:p>
        </w:tc>
        <w:tc>
          <w:tcPr>
            <w:tcW w:w="3208" w:type="dxa"/>
            <w:vAlign w:val="center"/>
          </w:tcPr>
          <w:p w14:paraId="544440BD">
            <w:pPr>
              <w:widowControl/>
              <w:jc w:val="left"/>
              <w:rPr>
                <w:rFonts w:ascii="Times New Roman" w:hAnsi="Times New Roman" w:cs="Times New Roman"/>
                <w:kern w:val="0"/>
                <w:szCs w:val="21"/>
              </w:rPr>
            </w:pPr>
            <w:r>
              <w:rPr>
                <w:rFonts w:ascii="Times New Roman" w:cs="Times New Roman" w:hAnsiTheme="minorEastAsia"/>
                <w:szCs w:val="21"/>
              </w:rPr>
              <w:t>聚焦怒江流域峡谷草原</w:t>
            </w:r>
            <w:r>
              <w:rPr>
                <w:rFonts w:hint="eastAsia" w:ascii="Times New Roman" w:hAnsi="Times New Roman" w:cs="Times New Roman"/>
                <w:szCs w:val="21"/>
              </w:rPr>
              <w:t>“</w:t>
            </w:r>
            <w:r>
              <w:rPr>
                <w:rFonts w:ascii="Times New Roman" w:cs="Times New Roman" w:hAnsiTheme="minorEastAsia"/>
                <w:szCs w:val="21"/>
              </w:rPr>
              <w:t>锁边</w:t>
            </w:r>
            <w:r>
              <w:rPr>
                <w:rFonts w:hint="eastAsia" w:ascii="Times New Roman" w:hAnsi="Times New Roman" w:cs="Times New Roman"/>
                <w:szCs w:val="21"/>
              </w:rPr>
              <w:t>”</w:t>
            </w:r>
            <w:r>
              <w:rPr>
                <w:rFonts w:ascii="Times New Roman" w:cs="Times New Roman" w:hAnsiTheme="minorEastAsia"/>
                <w:szCs w:val="21"/>
              </w:rPr>
              <w:t>修复与水土保持；</w:t>
            </w:r>
          </w:p>
          <w:p w14:paraId="4A9179A7">
            <w:pPr>
              <w:widowControl/>
              <w:jc w:val="left"/>
              <w:rPr>
                <w:rFonts w:ascii="Times New Roman" w:cs="Times New Roman" w:hAnsiTheme="minorEastAsia"/>
                <w:kern w:val="0"/>
                <w:szCs w:val="21"/>
              </w:rPr>
            </w:pPr>
            <w:r>
              <w:rPr>
                <w:rFonts w:ascii="Times New Roman" w:cs="Times New Roman" w:hAnsiTheme="minorEastAsia"/>
                <w:kern w:val="0"/>
                <w:szCs w:val="21"/>
              </w:rPr>
              <w:t>实施草原生态修复项目，加强美玉大草原保护与开发；</w:t>
            </w:r>
          </w:p>
          <w:p w14:paraId="1084A080">
            <w:pPr>
              <w:widowControl/>
              <w:jc w:val="left"/>
              <w:rPr>
                <w:rFonts w:ascii="Times New Roman" w:hAnsi="Times New Roman" w:cs="Times New Roman"/>
                <w:szCs w:val="21"/>
              </w:rPr>
            </w:pPr>
            <w:r>
              <w:rPr>
                <w:rFonts w:ascii="Times New Roman" w:cs="Times New Roman" w:hAnsiTheme="minorEastAsia"/>
                <w:color w:val="0000CC"/>
                <w:kern w:val="0"/>
                <w:szCs w:val="21"/>
              </w:rPr>
              <w:t>保护草原生态，推进草原退化修复，保障</w:t>
            </w:r>
            <w:r>
              <w:rPr>
                <w:rFonts w:hint="eastAsia" w:ascii="Times New Roman" w:cs="Times New Roman" w:hAnsiTheme="minorEastAsia"/>
                <w:color w:val="0000CC"/>
                <w:kern w:val="0"/>
                <w:szCs w:val="21"/>
              </w:rPr>
              <w:t>高黎贡山</w:t>
            </w:r>
            <w:r>
              <w:rPr>
                <w:rFonts w:ascii="Times New Roman" w:cs="Times New Roman" w:hAnsiTheme="minorEastAsia"/>
                <w:color w:val="0000CC"/>
                <w:kern w:val="0"/>
                <w:szCs w:val="21"/>
              </w:rPr>
              <w:t>生态安全；</w:t>
            </w:r>
          </w:p>
        </w:tc>
        <w:tc>
          <w:tcPr>
            <w:tcW w:w="2417" w:type="dxa"/>
            <w:vAlign w:val="center"/>
          </w:tcPr>
          <w:p w14:paraId="2645291E">
            <w:pPr>
              <w:jc w:val="left"/>
              <w:rPr>
                <w:rFonts w:ascii="Times New Roman" w:hAnsi="Times New Roman" w:cs="Times New Roman"/>
                <w:szCs w:val="21"/>
              </w:rPr>
            </w:pPr>
            <w:r>
              <w:rPr>
                <w:rFonts w:ascii="Times New Roman" w:cs="Times New Roman" w:hAnsiTheme="minorEastAsia"/>
                <w:szCs w:val="21"/>
              </w:rPr>
              <w:t>完成草原生态修复；</w:t>
            </w:r>
          </w:p>
          <w:p w14:paraId="4510C591">
            <w:pPr>
              <w:jc w:val="left"/>
              <w:rPr>
                <w:rFonts w:ascii="Times New Roman" w:hAnsi="Times New Roman" w:cs="Times New Roman"/>
                <w:szCs w:val="21"/>
              </w:rPr>
            </w:pPr>
            <w:r>
              <w:rPr>
                <w:rFonts w:ascii="Times New Roman" w:cs="Times New Roman" w:hAnsiTheme="minorEastAsia"/>
                <w:szCs w:val="21"/>
              </w:rPr>
              <w:t>实施高海拔退化草原综合治理；</w:t>
            </w:r>
          </w:p>
          <w:p w14:paraId="66D4ECA9">
            <w:pPr>
              <w:jc w:val="left"/>
              <w:rPr>
                <w:rFonts w:ascii="Times New Roman" w:hAnsi="Times New Roman" w:cs="Times New Roman"/>
                <w:szCs w:val="21"/>
              </w:rPr>
            </w:pPr>
            <w:r>
              <w:rPr>
                <w:rFonts w:ascii="Times New Roman" w:cs="Times New Roman" w:hAnsiTheme="minorEastAsia"/>
                <w:szCs w:val="21"/>
              </w:rPr>
              <w:t>对重度、中度、轻度退化草原进行生态修复，治理毒害草型退化草原；</w:t>
            </w:r>
          </w:p>
        </w:tc>
        <w:tc>
          <w:tcPr>
            <w:tcW w:w="2109" w:type="dxa"/>
            <w:vAlign w:val="center"/>
          </w:tcPr>
          <w:p w14:paraId="53EB412F">
            <w:pPr>
              <w:jc w:val="left"/>
              <w:rPr>
                <w:rFonts w:ascii="Times New Roman" w:hAnsi="Times New Roman" w:cs="Times New Roman"/>
                <w:kern w:val="0"/>
                <w:szCs w:val="21"/>
              </w:rPr>
            </w:pPr>
            <w:r>
              <w:rPr>
                <w:rFonts w:ascii="Times New Roman" w:cs="Times New Roman" w:hAnsiTheme="minorEastAsia"/>
                <w:kern w:val="0"/>
                <w:szCs w:val="21"/>
              </w:rPr>
              <w:t>发展草原生态旅游，结合茶马古道文化，打造自驾、露营等体验项目；</w:t>
            </w:r>
          </w:p>
          <w:p w14:paraId="61427FC3">
            <w:pPr>
              <w:jc w:val="left"/>
              <w:rPr>
                <w:rFonts w:ascii="Times New Roman" w:hAnsi="Times New Roman" w:cs="Times New Roman"/>
                <w:szCs w:val="21"/>
              </w:rPr>
            </w:pPr>
            <w:r>
              <w:rPr>
                <w:rFonts w:ascii="Times New Roman" w:cs="Times New Roman" w:hAnsiTheme="minorEastAsia"/>
                <w:szCs w:val="21"/>
              </w:rPr>
              <w:t>草原生态修复与文旅融合，打造高海拔草原生态旅游目的地；</w:t>
            </w:r>
          </w:p>
        </w:tc>
      </w:tr>
      <w:tr w14:paraId="2CDFC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578" w:type="dxa"/>
            <w:vMerge w:val="continue"/>
            <w:vAlign w:val="center"/>
          </w:tcPr>
          <w:p w14:paraId="2E5014C9">
            <w:pPr>
              <w:jc w:val="center"/>
              <w:rPr>
                <w:rStyle w:val="27"/>
                <w:rFonts w:ascii="Times New Roman" w:hAnsi="Times New Roman" w:cs="Times New Roman"/>
                <w:b w:val="0"/>
                <w:bCs/>
                <w:szCs w:val="21"/>
                <w:shd w:val="clear" w:color="auto" w:fill="FFFFFF"/>
              </w:rPr>
            </w:pPr>
          </w:p>
        </w:tc>
        <w:tc>
          <w:tcPr>
            <w:tcW w:w="855" w:type="dxa"/>
            <w:vAlign w:val="center"/>
          </w:tcPr>
          <w:p w14:paraId="59265AAD">
            <w:pPr>
              <w:jc w:val="center"/>
              <w:rPr>
                <w:rFonts w:ascii="Times New Roman" w:hAnsi="Times New Roman" w:cs="Times New Roman"/>
                <w:bCs/>
                <w:szCs w:val="21"/>
              </w:rPr>
            </w:pPr>
            <w:r>
              <w:rPr>
                <w:rFonts w:ascii="Times New Roman" w:cs="Times New Roman" w:hAnsiTheme="minorEastAsia"/>
                <w:bCs/>
                <w:szCs w:val="21"/>
              </w:rPr>
              <w:t>芒康县</w:t>
            </w:r>
          </w:p>
        </w:tc>
        <w:tc>
          <w:tcPr>
            <w:tcW w:w="3208" w:type="dxa"/>
            <w:vAlign w:val="center"/>
          </w:tcPr>
          <w:p w14:paraId="3DB0332D">
            <w:pPr>
              <w:jc w:val="left"/>
              <w:rPr>
                <w:rFonts w:ascii="Times New Roman" w:hAnsi="Times New Roman" w:cs="Times New Roman"/>
                <w:kern w:val="0"/>
                <w:szCs w:val="21"/>
              </w:rPr>
            </w:pPr>
            <w:r>
              <w:rPr>
                <w:rFonts w:ascii="Times New Roman" w:cs="Times New Roman" w:hAnsiTheme="minorEastAsia"/>
                <w:kern w:val="0"/>
                <w:szCs w:val="21"/>
              </w:rPr>
              <w:t>严守生态红线；保护红拉山等区域草原生态，维持高森林覆盖率下的草原生态平衡；</w:t>
            </w:r>
          </w:p>
          <w:p w14:paraId="00DDC82C">
            <w:pPr>
              <w:jc w:val="left"/>
              <w:rPr>
                <w:rFonts w:ascii="Times New Roman" w:cs="Times New Roman" w:hAnsiTheme="minorEastAsia"/>
                <w:szCs w:val="21"/>
              </w:rPr>
            </w:pPr>
            <w:r>
              <w:rPr>
                <w:rFonts w:ascii="Times New Roman" w:cs="Times New Roman" w:hAnsiTheme="minorEastAsia"/>
                <w:szCs w:val="21"/>
              </w:rPr>
              <w:t>控制放牧强度，推行舍饲半舍饲；</w:t>
            </w:r>
          </w:p>
          <w:p w14:paraId="36F16B9E">
            <w:pPr>
              <w:jc w:val="left"/>
              <w:rPr>
                <w:rFonts w:ascii="Times New Roman" w:hAnsi="Times New Roman" w:cs="Times New Roman"/>
                <w:szCs w:val="21"/>
              </w:rPr>
            </w:pPr>
            <w:r>
              <w:rPr>
                <w:rFonts w:ascii="Times New Roman" w:cs="Times New Roman" w:hAnsiTheme="minorEastAsia"/>
                <w:color w:val="0000CC"/>
                <w:kern w:val="0"/>
                <w:szCs w:val="21"/>
              </w:rPr>
              <w:t>保护草原生态，推进草原退化修复，保障长江上游生态安全；</w:t>
            </w:r>
          </w:p>
        </w:tc>
        <w:tc>
          <w:tcPr>
            <w:tcW w:w="2417" w:type="dxa"/>
            <w:vAlign w:val="center"/>
          </w:tcPr>
          <w:p w14:paraId="4BD021B8">
            <w:pPr>
              <w:jc w:val="left"/>
              <w:rPr>
                <w:rFonts w:ascii="Times New Roman" w:hAnsi="Times New Roman" w:cs="Times New Roman"/>
                <w:kern w:val="0"/>
                <w:szCs w:val="21"/>
              </w:rPr>
            </w:pPr>
            <w:r>
              <w:rPr>
                <w:rFonts w:ascii="Times New Roman" w:cs="Times New Roman" w:hAnsiTheme="minorEastAsia"/>
                <w:kern w:val="0"/>
                <w:szCs w:val="21"/>
              </w:rPr>
              <w:t>生物多样性保护与草原生态修复；</w:t>
            </w:r>
          </w:p>
          <w:p w14:paraId="49E4312C">
            <w:pPr>
              <w:jc w:val="left"/>
              <w:rPr>
                <w:rFonts w:ascii="Times New Roman" w:hAnsi="Times New Roman" w:cs="Times New Roman"/>
                <w:kern w:val="0"/>
                <w:szCs w:val="21"/>
              </w:rPr>
            </w:pPr>
            <w:r>
              <w:rPr>
                <w:rFonts w:ascii="Times New Roman" w:cs="Times New Roman" w:hAnsiTheme="minorEastAsia"/>
                <w:kern w:val="0"/>
                <w:szCs w:val="21"/>
              </w:rPr>
              <w:t>加强草原湿地协同管护；</w:t>
            </w:r>
          </w:p>
          <w:p w14:paraId="71E50975">
            <w:pPr>
              <w:jc w:val="left"/>
              <w:rPr>
                <w:rFonts w:ascii="Times New Roman" w:hAnsi="Times New Roman" w:cs="Times New Roman"/>
                <w:szCs w:val="21"/>
              </w:rPr>
            </w:pPr>
            <w:r>
              <w:rPr>
                <w:rFonts w:ascii="Times New Roman" w:cs="Times New Roman" w:hAnsiTheme="minorEastAsia"/>
                <w:szCs w:val="21"/>
              </w:rPr>
              <w:t>重点针对重度退化草原和毒害草型退化草原进行生态修复；</w:t>
            </w:r>
          </w:p>
        </w:tc>
        <w:tc>
          <w:tcPr>
            <w:tcW w:w="2109" w:type="dxa"/>
            <w:vAlign w:val="center"/>
          </w:tcPr>
          <w:p w14:paraId="6B7F4AAA">
            <w:pPr>
              <w:jc w:val="left"/>
              <w:rPr>
                <w:rFonts w:ascii="Times New Roman" w:hAnsi="Times New Roman" w:cs="Times New Roman"/>
                <w:szCs w:val="21"/>
              </w:rPr>
            </w:pPr>
            <w:r>
              <w:rPr>
                <w:rFonts w:ascii="Times New Roman" w:cs="Times New Roman" w:hAnsiTheme="minorEastAsia"/>
                <w:kern w:val="0"/>
                <w:szCs w:val="21"/>
              </w:rPr>
              <w:t>发展高原特色牦牛、绵羊养殖，结合茶马古道文化，开发草原生态旅游线路；</w:t>
            </w:r>
          </w:p>
        </w:tc>
      </w:tr>
      <w:tr w14:paraId="6412F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578" w:type="dxa"/>
            <w:vMerge w:val="continue"/>
            <w:vAlign w:val="center"/>
          </w:tcPr>
          <w:p w14:paraId="798B5DF3">
            <w:pPr>
              <w:jc w:val="center"/>
              <w:rPr>
                <w:rStyle w:val="27"/>
                <w:rFonts w:ascii="Times New Roman" w:hAnsi="Times New Roman" w:cs="Times New Roman"/>
                <w:b w:val="0"/>
                <w:bCs/>
                <w:szCs w:val="21"/>
                <w:shd w:val="clear" w:color="auto" w:fill="FFFFFF"/>
              </w:rPr>
            </w:pPr>
          </w:p>
        </w:tc>
        <w:tc>
          <w:tcPr>
            <w:tcW w:w="855" w:type="dxa"/>
            <w:vAlign w:val="center"/>
          </w:tcPr>
          <w:p w14:paraId="1D554F8A">
            <w:pPr>
              <w:jc w:val="center"/>
              <w:rPr>
                <w:rFonts w:ascii="Times New Roman" w:hAnsi="Times New Roman" w:cs="Times New Roman"/>
                <w:bCs/>
                <w:szCs w:val="21"/>
              </w:rPr>
            </w:pPr>
            <w:r>
              <w:rPr>
                <w:rFonts w:ascii="Times New Roman" w:cs="Times New Roman" w:hAnsiTheme="minorEastAsia"/>
                <w:bCs/>
                <w:szCs w:val="21"/>
              </w:rPr>
              <w:t>边坝县</w:t>
            </w:r>
          </w:p>
        </w:tc>
        <w:tc>
          <w:tcPr>
            <w:tcW w:w="3208" w:type="dxa"/>
            <w:vAlign w:val="center"/>
          </w:tcPr>
          <w:p w14:paraId="0DD0CBC0">
            <w:pPr>
              <w:jc w:val="left"/>
              <w:rPr>
                <w:rFonts w:ascii="Times New Roman" w:hAnsi="Times New Roman" w:cs="Times New Roman"/>
                <w:szCs w:val="21"/>
              </w:rPr>
            </w:pPr>
            <w:r>
              <w:rPr>
                <w:rFonts w:ascii="Times New Roman" w:cs="Times New Roman" w:hAnsiTheme="minorEastAsia"/>
                <w:kern w:val="0"/>
                <w:szCs w:val="21"/>
              </w:rPr>
              <w:t>保护三色</w:t>
            </w:r>
            <w:r>
              <w:rPr>
                <w:rFonts w:hint="eastAsia" w:ascii="Times New Roman" w:cs="Times New Roman" w:hAnsiTheme="minorEastAsia"/>
                <w:kern w:val="0"/>
                <w:szCs w:val="21"/>
              </w:rPr>
              <w:t>湖</w:t>
            </w:r>
            <w:r>
              <w:rPr>
                <w:rFonts w:ascii="Times New Roman" w:cs="Times New Roman" w:hAnsiTheme="minorEastAsia"/>
                <w:kern w:val="0"/>
                <w:szCs w:val="21"/>
              </w:rPr>
              <w:t>等景观周边草原生态，为黑颈鹤等野生动物提供栖息地，构建绿色生态屏障；</w:t>
            </w:r>
          </w:p>
        </w:tc>
        <w:tc>
          <w:tcPr>
            <w:tcW w:w="2417" w:type="dxa"/>
            <w:vAlign w:val="center"/>
          </w:tcPr>
          <w:p w14:paraId="61DA8267">
            <w:pPr>
              <w:jc w:val="left"/>
              <w:rPr>
                <w:rFonts w:ascii="Times New Roman" w:hAnsi="Times New Roman" w:cs="Times New Roman"/>
                <w:kern w:val="0"/>
                <w:szCs w:val="21"/>
              </w:rPr>
            </w:pPr>
            <w:r>
              <w:rPr>
                <w:rFonts w:ascii="Times New Roman" w:cs="Times New Roman" w:hAnsiTheme="minorEastAsia"/>
                <w:kern w:val="0"/>
                <w:szCs w:val="21"/>
              </w:rPr>
              <w:t>原生态草原保护与修复，乡土草种扩繁；</w:t>
            </w:r>
          </w:p>
          <w:p w14:paraId="61F8B544">
            <w:pPr>
              <w:jc w:val="left"/>
              <w:rPr>
                <w:rFonts w:ascii="Times New Roman" w:hAnsi="Times New Roman" w:cs="Times New Roman"/>
                <w:kern w:val="0"/>
                <w:szCs w:val="21"/>
              </w:rPr>
            </w:pPr>
            <w:r>
              <w:rPr>
                <w:rFonts w:ascii="Times New Roman" w:cs="Times New Roman" w:hAnsiTheme="minorEastAsia"/>
                <w:kern w:val="0"/>
                <w:szCs w:val="21"/>
              </w:rPr>
              <w:t>完善草原防灾减灾体系；</w:t>
            </w:r>
          </w:p>
          <w:p w14:paraId="0436BE64">
            <w:pPr>
              <w:jc w:val="left"/>
              <w:rPr>
                <w:rFonts w:ascii="Times New Roman" w:hAnsi="Times New Roman" w:cs="Times New Roman"/>
                <w:szCs w:val="21"/>
              </w:rPr>
            </w:pPr>
            <w:r>
              <w:rPr>
                <w:rFonts w:ascii="Times New Roman" w:cs="Times New Roman" w:hAnsiTheme="minorEastAsia"/>
                <w:szCs w:val="21"/>
              </w:rPr>
              <w:t>重点对重度、中度、轻度退化草原进行生态修复；</w:t>
            </w:r>
          </w:p>
        </w:tc>
        <w:tc>
          <w:tcPr>
            <w:tcW w:w="2109" w:type="dxa"/>
            <w:vAlign w:val="center"/>
          </w:tcPr>
          <w:p w14:paraId="393A6CC3">
            <w:pPr>
              <w:jc w:val="left"/>
              <w:rPr>
                <w:rFonts w:ascii="Times New Roman" w:hAnsi="Times New Roman" w:cs="Times New Roman"/>
                <w:kern w:val="0"/>
                <w:szCs w:val="21"/>
              </w:rPr>
            </w:pPr>
            <w:r>
              <w:rPr>
                <w:rFonts w:ascii="Times New Roman" w:cs="Times New Roman" w:hAnsiTheme="minorEastAsia"/>
                <w:kern w:val="0"/>
                <w:szCs w:val="21"/>
              </w:rPr>
              <w:t>开发草原原生态旅游，结合</w:t>
            </w:r>
            <w:r>
              <w:rPr>
                <w:rFonts w:hint="eastAsia" w:ascii="Times New Roman" w:cs="Times New Roman" w:hAnsiTheme="minorEastAsia"/>
                <w:kern w:val="0"/>
                <w:szCs w:val="21"/>
              </w:rPr>
              <w:t>三色湖</w:t>
            </w:r>
            <w:r>
              <w:rPr>
                <w:rFonts w:ascii="Times New Roman" w:cs="Times New Roman" w:hAnsiTheme="minorEastAsia"/>
                <w:kern w:val="0"/>
                <w:szCs w:val="21"/>
              </w:rPr>
              <w:t>等资源，打造高原草原观光与民俗体验区，发展绿色饲草种植；</w:t>
            </w:r>
          </w:p>
          <w:p w14:paraId="5BEBEACF">
            <w:pPr>
              <w:jc w:val="left"/>
              <w:rPr>
                <w:rFonts w:ascii="Times New Roman" w:hAnsi="Times New Roman" w:cs="Times New Roman"/>
                <w:szCs w:val="21"/>
              </w:rPr>
            </w:pPr>
            <w:r>
              <w:rPr>
                <w:rFonts w:ascii="Times New Roman" w:cs="Times New Roman" w:hAnsiTheme="minorEastAsia"/>
                <w:kern w:val="0"/>
                <w:szCs w:val="21"/>
              </w:rPr>
              <w:t>草原生态保护与原生态旅游融合，发展绿色农牧业；</w:t>
            </w:r>
          </w:p>
        </w:tc>
      </w:tr>
      <w:tr w14:paraId="5D49C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578" w:type="dxa"/>
            <w:vMerge w:val="restart"/>
            <w:vAlign w:val="center"/>
          </w:tcPr>
          <w:p w14:paraId="2DE3FE64">
            <w:pPr>
              <w:jc w:val="center"/>
              <w:rPr>
                <w:rStyle w:val="27"/>
                <w:rFonts w:ascii="Times New Roman" w:hAnsi="Times New Roman" w:cs="Times New Roman"/>
                <w:b w:val="0"/>
                <w:bCs/>
                <w:szCs w:val="21"/>
                <w:shd w:val="clear" w:color="auto" w:fill="FFFFFF"/>
              </w:rPr>
            </w:pPr>
            <w:r>
              <w:rPr>
                <w:rStyle w:val="27"/>
                <w:rFonts w:ascii="Times New Roman" w:cs="Times New Roman" w:hAnsiTheme="minorEastAsia"/>
                <w:b w:val="0"/>
                <w:bCs/>
                <w:szCs w:val="21"/>
                <w:shd w:val="clear" w:color="auto" w:fill="FFFFFF"/>
              </w:rPr>
              <w:t>合理利用发展区</w:t>
            </w:r>
          </w:p>
        </w:tc>
        <w:tc>
          <w:tcPr>
            <w:tcW w:w="855" w:type="dxa"/>
            <w:vAlign w:val="center"/>
          </w:tcPr>
          <w:p w14:paraId="4928FD93">
            <w:pPr>
              <w:jc w:val="center"/>
              <w:rPr>
                <w:rFonts w:ascii="Times New Roman" w:hAnsi="Times New Roman" w:cs="Times New Roman"/>
                <w:bCs/>
                <w:szCs w:val="21"/>
              </w:rPr>
            </w:pPr>
            <w:r>
              <w:rPr>
                <w:rFonts w:ascii="Times New Roman" w:cs="Times New Roman" w:hAnsiTheme="minorEastAsia"/>
                <w:bCs/>
                <w:szCs w:val="21"/>
              </w:rPr>
              <w:t>卡若区</w:t>
            </w:r>
          </w:p>
        </w:tc>
        <w:tc>
          <w:tcPr>
            <w:tcW w:w="3208" w:type="dxa"/>
            <w:vAlign w:val="center"/>
          </w:tcPr>
          <w:p w14:paraId="74803D60">
            <w:pPr>
              <w:jc w:val="left"/>
              <w:rPr>
                <w:rFonts w:ascii="Times New Roman" w:hAnsi="Times New Roman" w:cs="Times New Roman"/>
                <w:szCs w:val="21"/>
              </w:rPr>
            </w:pPr>
            <w:r>
              <w:rPr>
                <w:rFonts w:ascii="Times New Roman" w:cs="Times New Roman" w:hAnsiTheme="minorEastAsia"/>
                <w:szCs w:val="21"/>
              </w:rPr>
              <w:t>落实草畜平衡与禁牧休牧；</w:t>
            </w:r>
          </w:p>
          <w:p w14:paraId="5D748B9F">
            <w:pPr>
              <w:jc w:val="left"/>
              <w:rPr>
                <w:rFonts w:ascii="Times New Roman" w:hAnsi="Times New Roman" w:cs="Times New Roman"/>
                <w:szCs w:val="21"/>
              </w:rPr>
            </w:pPr>
            <w:r>
              <w:rPr>
                <w:rFonts w:ascii="Times New Roman" w:cs="Times New Roman" w:hAnsiTheme="minorEastAsia"/>
                <w:kern w:val="0"/>
                <w:szCs w:val="21"/>
              </w:rPr>
              <w:t>推进退化草场治理；实施退耕还林还草、人工种草等工程；</w:t>
            </w:r>
          </w:p>
        </w:tc>
        <w:tc>
          <w:tcPr>
            <w:tcW w:w="2417" w:type="dxa"/>
            <w:vAlign w:val="center"/>
          </w:tcPr>
          <w:p w14:paraId="77DEA1F4">
            <w:pPr>
              <w:jc w:val="left"/>
              <w:rPr>
                <w:rFonts w:ascii="Times New Roman" w:hAnsi="Times New Roman" w:cs="Times New Roman"/>
                <w:kern w:val="0"/>
                <w:szCs w:val="21"/>
              </w:rPr>
            </w:pPr>
            <w:r>
              <w:rPr>
                <w:rFonts w:ascii="Times New Roman" w:cs="Times New Roman" w:hAnsiTheme="minorEastAsia"/>
                <w:kern w:val="0"/>
                <w:szCs w:val="21"/>
              </w:rPr>
              <w:t>休牧围栏；轻度、中度、重度退化草原修复；</w:t>
            </w:r>
          </w:p>
          <w:p w14:paraId="3F9D44C5">
            <w:pPr>
              <w:jc w:val="left"/>
              <w:rPr>
                <w:rFonts w:ascii="Times New Roman" w:cs="Times New Roman" w:hAnsiTheme="minorEastAsia"/>
                <w:kern w:val="0"/>
                <w:szCs w:val="21"/>
              </w:rPr>
            </w:pPr>
            <w:r>
              <w:rPr>
                <w:rFonts w:ascii="Times New Roman" w:cs="Times New Roman" w:hAnsiTheme="minorEastAsia"/>
                <w:kern w:val="0"/>
                <w:szCs w:val="21"/>
              </w:rPr>
              <w:t>退耕还林还草与人工种草，构建</w:t>
            </w:r>
            <w:r>
              <w:rPr>
                <w:rFonts w:hint="eastAsia" w:ascii="Times New Roman" w:cs="Times New Roman" w:hAnsiTheme="minorEastAsia"/>
                <w:kern w:val="0"/>
                <w:szCs w:val="21"/>
              </w:rPr>
              <w:t>“</w:t>
            </w:r>
            <w:r>
              <w:rPr>
                <w:rFonts w:ascii="Times New Roman" w:cs="Times New Roman" w:hAnsiTheme="minorEastAsia"/>
                <w:kern w:val="0"/>
                <w:szCs w:val="21"/>
              </w:rPr>
              <w:t>人防</w:t>
            </w:r>
            <w:r>
              <w:rPr>
                <w:rFonts w:ascii="Times New Roman" w:hAnsi="Times New Roman" w:cs="Times New Roman"/>
                <w:kern w:val="0"/>
                <w:szCs w:val="21"/>
              </w:rPr>
              <w:t>+</w:t>
            </w:r>
            <w:r>
              <w:rPr>
                <w:rFonts w:ascii="Times New Roman" w:cs="Times New Roman" w:hAnsiTheme="minorEastAsia"/>
                <w:kern w:val="0"/>
                <w:szCs w:val="21"/>
              </w:rPr>
              <w:t>物防</w:t>
            </w:r>
            <w:r>
              <w:rPr>
                <w:rFonts w:ascii="Times New Roman" w:hAnsi="Times New Roman" w:cs="Times New Roman"/>
                <w:kern w:val="0"/>
                <w:szCs w:val="21"/>
              </w:rPr>
              <w:t>+</w:t>
            </w:r>
            <w:r>
              <w:rPr>
                <w:rFonts w:ascii="Times New Roman" w:cs="Times New Roman" w:hAnsiTheme="minorEastAsia"/>
                <w:kern w:val="0"/>
                <w:szCs w:val="21"/>
              </w:rPr>
              <w:t>技防</w:t>
            </w:r>
            <w:r>
              <w:rPr>
                <w:rFonts w:ascii="Times New Roman" w:hAnsi="Times New Roman" w:cs="Times New Roman"/>
                <w:kern w:val="0"/>
                <w:szCs w:val="21"/>
              </w:rPr>
              <w:t>+</w:t>
            </w:r>
            <w:r>
              <w:rPr>
                <w:rFonts w:ascii="Times New Roman" w:cs="Times New Roman" w:hAnsiTheme="minorEastAsia"/>
                <w:kern w:val="0"/>
                <w:szCs w:val="21"/>
              </w:rPr>
              <w:t>群防</w:t>
            </w:r>
            <w:r>
              <w:rPr>
                <w:rFonts w:hint="eastAsia" w:ascii="Times New Roman" w:cs="Times New Roman" w:hAnsiTheme="minorEastAsia"/>
                <w:kern w:val="0"/>
                <w:szCs w:val="21"/>
              </w:rPr>
              <w:t>”</w:t>
            </w:r>
            <w:r>
              <w:rPr>
                <w:rFonts w:ascii="Times New Roman" w:cs="Times New Roman" w:hAnsiTheme="minorEastAsia"/>
                <w:kern w:val="0"/>
                <w:szCs w:val="21"/>
              </w:rPr>
              <w:t>管护体系；</w:t>
            </w:r>
          </w:p>
          <w:p w14:paraId="5A0D120C">
            <w:pPr>
              <w:jc w:val="left"/>
              <w:rPr>
                <w:rFonts w:ascii="Times New Roman" w:hAnsi="Times New Roman" w:cs="Times New Roman"/>
                <w:kern w:val="0"/>
                <w:szCs w:val="21"/>
              </w:rPr>
            </w:pPr>
            <w:r>
              <w:rPr>
                <w:rFonts w:hint="eastAsia" w:ascii="Times New Roman" w:cs="Times New Roman" w:hAnsiTheme="minorEastAsia"/>
                <w:kern w:val="0"/>
                <w:szCs w:val="21"/>
              </w:rPr>
              <w:t>妥坝乡黑土滩、裸斑治理；</w:t>
            </w:r>
          </w:p>
        </w:tc>
        <w:tc>
          <w:tcPr>
            <w:tcW w:w="2109" w:type="dxa"/>
            <w:vAlign w:val="center"/>
          </w:tcPr>
          <w:p w14:paraId="5CCD7226">
            <w:pPr>
              <w:jc w:val="left"/>
              <w:rPr>
                <w:rFonts w:ascii="Times New Roman" w:hAnsi="Times New Roman" w:cs="Times New Roman"/>
                <w:szCs w:val="21"/>
              </w:rPr>
            </w:pPr>
            <w:r>
              <w:rPr>
                <w:rFonts w:ascii="Times New Roman" w:cs="Times New Roman" w:hAnsiTheme="minorEastAsia"/>
                <w:kern w:val="0"/>
                <w:szCs w:val="21"/>
              </w:rPr>
              <w:t>构建草原保护、修复、合理利用和支撑保障体系，发展生态旅游与草畜一体化产业；</w:t>
            </w:r>
          </w:p>
        </w:tc>
      </w:tr>
      <w:tr w14:paraId="39E9D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78" w:type="dxa"/>
            <w:vMerge w:val="continue"/>
            <w:vAlign w:val="center"/>
          </w:tcPr>
          <w:p w14:paraId="408C4A40">
            <w:pPr>
              <w:jc w:val="center"/>
              <w:rPr>
                <w:rStyle w:val="27"/>
                <w:rFonts w:ascii="Times New Roman" w:hAnsi="Times New Roman" w:cs="Times New Roman"/>
                <w:b w:val="0"/>
                <w:bCs/>
                <w:szCs w:val="21"/>
                <w:shd w:val="clear" w:color="auto" w:fill="FFFFFF"/>
              </w:rPr>
            </w:pPr>
          </w:p>
        </w:tc>
        <w:tc>
          <w:tcPr>
            <w:tcW w:w="855" w:type="dxa"/>
            <w:vAlign w:val="center"/>
          </w:tcPr>
          <w:p w14:paraId="698BBF8B">
            <w:pPr>
              <w:jc w:val="center"/>
              <w:rPr>
                <w:rFonts w:ascii="Times New Roman" w:hAnsi="Times New Roman" w:cs="Times New Roman"/>
                <w:bCs/>
                <w:szCs w:val="21"/>
              </w:rPr>
            </w:pPr>
            <w:r>
              <w:rPr>
                <w:rFonts w:ascii="Times New Roman" w:cs="Times New Roman" w:hAnsiTheme="minorEastAsia"/>
                <w:bCs/>
                <w:szCs w:val="21"/>
              </w:rPr>
              <w:t>贡觉县</w:t>
            </w:r>
          </w:p>
        </w:tc>
        <w:tc>
          <w:tcPr>
            <w:tcW w:w="3208" w:type="dxa"/>
            <w:vAlign w:val="center"/>
          </w:tcPr>
          <w:p w14:paraId="76529E98">
            <w:pPr>
              <w:jc w:val="left"/>
              <w:rPr>
                <w:rFonts w:ascii="Times New Roman" w:hAnsi="Times New Roman" w:cs="Times New Roman"/>
                <w:szCs w:val="21"/>
              </w:rPr>
            </w:pPr>
            <w:r>
              <w:rPr>
                <w:rFonts w:ascii="Times New Roman" w:cs="Times New Roman" w:hAnsiTheme="minorEastAsia"/>
                <w:kern w:val="0"/>
                <w:szCs w:val="21"/>
              </w:rPr>
              <w:t>保护贡觉草原生态，推进草原退化修复，保障长江上游生态安全；</w:t>
            </w:r>
          </w:p>
        </w:tc>
        <w:tc>
          <w:tcPr>
            <w:tcW w:w="2417" w:type="dxa"/>
            <w:vAlign w:val="center"/>
          </w:tcPr>
          <w:p w14:paraId="4C291150">
            <w:pPr>
              <w:jc w:val="left"/>
              <w:rPr>
                <w:rFonts w:ascii="Times New Roman" w:hAnsi="Times New Roman" w:cs="Times New Roman"/>
                <w:kern w:val="0"/>
                <w:szCs w:val="21"/>
              </w:rPr>
            </w:pPr>
            <w:r>
              <w:rPr>
                <w:rFonts w:ascii="Times New Roman" w:cs="Times New Roman" w:hAnsiTheme="minorEastAsia"/>
                <w:kern w:val="0"/>
                <w:szCs w:val="21"/>
              </w:rPr>
              <w:t>退化草原改良与生态屏障建设；</w:t>
            </w:r>
          </w:p>
          <w:p w14:paraId="3C6F923C">
            <w:pPr>
              <w:jc w:val="left"/>
              <w:rPr>
                <w:rFonts w:ascii="Times New Roman" w:hAnsi="Times New Roman" w:cs="Times New Roman"/>
                <w:szCs w:val="21"/>
              </w:rPr>
            </w:pPr>
            <w:r>
              <w:rPr>
                <w:rFonts w:ascii="Times New Roman" w:cs="Times New Roman" w:hAnsiTheme="minorEastAsia"/>
                <w:szCs w:val="21"/>
              </w:rPr>
              <w:t>对轻度退化和毒害草型退化草原进行生态修复；</w:t>
            </w:r>
          </w:p>
          <w:p w14:paraId="052203E8">
            <w:pPr>
              <w:jc w:val="left"/>
              <w:rPr>
                <w:rFonts w:ascii="Times New Roman" w:hAnsi="Times New Roman" w:cs="Times New Roman"/>
                <w:szCs w:val="21"/>
              </w:rPr>
            </w:pPr>
            <w:r>
              <w:rPr>
                <w:rFonts w:ascii="Times New Roman" w:cs="Times New Roman" w:hAnsiTheme="minorEastAsia"/>
                <w:szCs w:val="21"/>
              </w:rPr>
              <w:t>推进湿地</w:t>
            </w:r>
            <w:r>
              <w:rPr>
                <w:rFonts w:ascii="Times New Roman" w:hAnsi="Times New Roman" w:cs="Times New Roman"/>
                <w:szCs w:val="21"/>
              </w:rPr>
              <w:t>—</w:t>
            </w:r>
            <w:r>
              <w:rPr>
                <w:rFonts w:ascii="Times New Roman" w:cs="Times New Roman" w:hAnsiTheme="minorEastAsia"/>
                <w:szCs w:val="21"/>
              </w:rPr>
              <w:t>草原一体化修复，叠加光伏资源发展</w:t>
            </w:r>
            <w:r>
              <w:rPr>
                <w:rFonts w:hint="eastAsia" w:ascii="Times New Roman" w:hAnsi="Times New Roman" w:cs="Times New Roman"/>
                <w:szCs w:val="21"/>
              </w:rPr>
              <w:t>“</w:t>
            </w:r>
            <w:r>
              <w:rPr>
                <w:rFonts w:ascii="Times New Roman" w:cs="Times New Roman" w:hAnsiTheme="minorEastAsia"/>
                <w:szCs w:val="21"/>
              </w:rPr>
              <w:t>牧光互补</w:t>
            </w:r>
            <w:r>
              <w:rPr>
                <w:rFonts w:hint="eastAsia" w:ascii="Times New Roman" w:hAnsi="Times New Roman" w:cs="Times New Roman"/>
                <w:szCs w:val="21"/>
              </w:rPr>
              <w:t>”</w:t>
            </w:r>
            <w:r>
              <w:rPr>
                <w:rFonts w:ascii="Times New Roman" w:cs="Times New Roman" w:hAnsiTheme="minorEastAsia"/>
                <w:szCs w:val="21"/>
              </w:rPr>
              <w:t>；</w:t>
            </w:r>
          </w:p>
        </w:tc>
        <w:tc>
          <w:tcPr>
            <w:tcW w:w="2109" w:type="dxa"/>
            <w:vAlign w:val="center"/>
          </w:tcPr>
          <w:p w14:paraId="6546FCB0">
            <w:pPr>
              <w:jc w:val="left"/>
              <w:rPr>
                <w:rFonts w:ascii="Times New Roman" w:hAnsi="Times New Roman" w:cs="Times New Roman"/>
                <w:szCs w:val="21"/>
              </w:rPr>
            </w:pPr>
            <w:r>
              <w:rPr>
                <w:rFonts w:ascii="Times New Roman" w:cs="Times New Roman" w:hAnsiTheme="minorEastAsia"/>
                <w:kern w:val="0"/>
                <w:szCs w:val="21"/>
              </w:rPr>
              <w:t>强化草种基地与乡土草种繁育，做强阿旺绵羊等特色养殖，完善产业链，打造高原特色畜产品品牌，发展特色草畜产业；</w:t>
            </w:r>
          </w:p>
        </w:tc>
      </w:tr>
      <w:tr w14:paraId="6F3BD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78" w:type="dxa"/>
            <w:vMerge w:val="continue"/>
            <w:vAlign w:val="center"/>
          </w:tcPr>
          <w:p w14:paraId="2FB544F7">
            <w:pPr>
              <w:jc w:val="center"/>
              <w:rPr>
                <w:rStyle w:val="27"/>
                <w:rFonts w:ascii="Times New Roman" w:hAnsi="Times New Roman" w:cs="Times New Roman"/>
                <w:b w:val="0"/>
                <w:bCs/>
                <w:szCs w:val="21"/>
                <w:shd w:val="clear" w:color="auto" w:fill="FFFFFF"/>
              </w:rPr>
            </w:pPr>
          </w:p>
        </w:tc>
        <w:tc>
          <w:tcPr>
            <w:tcW w:w="855" w:type="dxa"/>
            <w:vAlign w:val="center"/>
          </w:tcPr>
          <w:p w14:paraId="0054603C">
            <w:pPr>
              <w:jc w:val="center"/>
              <w:rPr>
                <w:rFonts w:ascii="Times New Roman" w:hAnsi="Times New Roman" w:cs="Times New Roman"/>
                <w:bCs/>
                <w:szCs w:val="21"/>
              </w:rPr>
            </w:pPr>
            <w:r>
              <w:rPr>
                <w:rFonts w:ascii="Times New Roman" w:cs="Times New Roman" w:hAnsiTheme="minorEastAsia"/>
                <w:bCs/>
                <w:szCs w:val="21"/>
              </w:rPr>
              <w:t>洛隆县</w:t>
            </w:r>
          </w:p>
        </w:tc>
        <w:tc>
          <w:tcPr>
            <w:tcW w:w="3208" w:type="dxa"/>
            <w:vAlign w:val="center"/>
          </w:tcPr>
          <w:p w14:paraId="1B71344F">
            <w:pPr>
              <w:jc w:val="left"/>
              <w:rPr>
                <w:rFonts w:ascii="Times New Roman" w:hAnsi="Times New Roman" w:cs="Times New Roman"/>
                <w:kern w:val="0"/>
                <w:szCs w:val="21"/>
              </w:rPr>
            </w:pPr>
            <w:r>
              <w:rPr>
                <w:rFonts w:ascii="Times New Roman" w:cs="Times New Roman" w:hAnsiTheme="minorEastAsia"/>
                <w:kern w:val="0"/>
                <w:szCs w:val="21"/>
              </w:rPr>
              <w:t>加强卓玛朗措国家湿地公园周边草原保护，开展生态修复；</w:t>
            </w:r>
          </w:p>
          <w:p w14:paraId="2B7DFCE0">
            <w:pPr>
              <w:jc w:val="left"/>
              <w:rPr>
                <w:rFonts w:ascii="Times New Roman" w:cs="Times New Roman" w:hAnsiTheme="minorEastAsia"/>
                <w:szCs w:val="21"/>
              </w:rPr>
            </w:pPr>
            <w:r>
              <w:rPr>
                <w:rFonts w:ascii="Times New Roman" w:cs="Times New Roman" w:hAnsiTheme="minorEastAsia"/>
                <w:szCs w:val="21"/>
              </w:rPr>
              <w:t>针对半农半牧特点，修复农区</w:t>
            </w:r>
            <w:r>
              <w:rPr>
                <w:rFonts w:ascii="Times New Roman" w:hAnsi="Times New Roman" w:cs="Times New Roman"/>
                <w:szCs w:val="21"/>
              </w:rPr>
              <w:t>—</w:t>
            </w:r>
            <w:r>
              <w:rPr>
                <w:rFonts w:ascii="Times New Roman" w:cs="Times New Roman" w:hAnsiTheme="minorEastAsia"/>
                <w:szCs w:val="21"/>
              </w:rPr>
              <w:t>牧区交界草原并落实水土保持，推行</w:t>
            </w:r>
            <w:r>
              <w:rPr>
                <w:rFonts w:hint="eastAsia" w:ascii="Times New Roman" w:hAnsi="Times New Roman" w:cs="Times New Roman"/>
                <w:szCs w:val="21"/>
              </w:rPr>
              <w:t>“</w:t>
            </w:r>
            <w:r>
              <w:rPr>
                <w:rFonts w:ascii="Times New Roman" w:cs="Times New Roman" w:hAnsiTheme="minorEastAsia"/>
                <w:szCs w:val="21"/>
              </w:rPr>
              <w:t>牧繁农育、冬圈夏草</w:t>
            </w:r>
            <w:r>
              <w:rPr>
                <w:rFonts w:hint="eastAsia" w:ascii="Times New Roman" w:hAnsi="Times New Roman" w:cs="Times New Roman"/>
                <w:szCs w:val="21"/>
              </w:rPr>
              <w:t>”</w:t>
            </w:r>
            <w:r>
              <w:rPr>
                <w:rFonts w:ascii="Times New Roman" w:cs="Times New Roman" w:hAnsiTheme="minorEastAsia"/>
                <w:szCs w:val="21"/>
              </w:rPr>
              <w:t>模式；</w:t>
            </w:r>
          </w:p>
        </w:tc>
        <w:tc>
          <w:tcPr>
            <w:tcW w:w="2417" w:type="dxa"/>
            <w:vAlign w:val="center"/>
          </w:tcPr>
          <w:p w14:paraId="782B7550">
            <w:pPr>
              <w:jc w:val="left"/>
              <w:rPr>
                <w:rFonts w:ascii="Times New Roman" w:hAnsi="Times New Roman" w:cs="Times New Roman"/>
                <w:kern w:val="0"/>
                <w:szCs w:val="21"/>
              </w:rPr>
            </w:pPr>
            <w:r>
              <w:rPr>
                <w:rFonts w:ascii="Times New Roman" w:cs="Times New Roman" w:hAnsiTheme="minorEastAsia"/>
                <w:kern w:val="0"/>
                <w:szCs w:val="21"/>
              </w:rPr>
              <w:t>湿地</w:t>
            </w:r>
            <w:r>
              <w:rPr>
                <w:rFonts w:ascii="Times New Roman" w:hAnsi="Times New Roman" w:cs="Times New Roman"/>
                <w:kern w:val="0"/>
                <w:szCs w:val="21"/>
              </w:rPr>
              <w:t>—</w:t>
            </w:r>
            <w:r>
              <w:rPr>
                <w:rFonts w:ascii="Times New Roman" w:cs="Times New Roman" w:hAnsiTheme="minorEastAsia"/>
                <w:kern w:val="0"/>
                <w:szCs w:val="21"/>
              </w:rPr>
              <w:t>草原协同修复，退化草场改良；</w:t>
            </w:r>
          </w:p>
          <w:p w14:paraId="515DDD5C">
            <w:pPr>
              <w:jc w:val="left"/>
              <w:rPr>
                <w:rFonts w:ascii="Times New Roman" w:hAnsi="Times New Roman" w:cs="Times New Roman"/>
                <w:szCs w:val="21"/>
              </w:rPr>
            </w:pPr>
            <w:r>
              <w:rPr>
                <w:rFonts w:ascii="Times New Roman" w:cs="Times New Roman" w:hAnsiTheme="minorEastAsia"/>
                <w:szCs w:val="21"/>
              </w:rPr>
              <w:t>对重度、中度退化草原进行生态修复；</w:t>
            </w:r>
          </w:p>
        </w:tc>
        <w:tc>
          <w:tcPr>
            <w:tcW w:w="2109" w:type="dxa"/>
            <w:vAlign w:val="center"/>
          </w:tcPr>
          <w:p w14:paraId="4A2C2C29">
            <w:pPr>
              <w:jc w:val="left"/>
              <w:rPr>
                <w:rFonts w:ascii="Times New Roman" w:hAnsi="Times New Roman" w:cs="Times New Roman"/>
                <w:szCs w:val="21"/>
              </w:rPr>
            </w:pPr>
            <w:r>
              <w:rPr>
                <w:rFonts w:ascii="Times New Roman" w:cs="Times New Roman" w:hAnsiTheme="minorEastAsia"/>
                <w:kern w:val="0"/>
                <w:szCs w:val="21"/>
              </w:rPr>
              <w:t>发展高原特色农产品种植与牦牛养殖，推进草畜一体化，打造茶马古道草原文化体验区；</w:t>
            </w:r>
          </w:p>
        </w:tc>
      </w:tr>
    </w:tbl>
    <w:p w14:paraId="0900ACF4">
      <w:r>
        <w:br w:type="page"/>
      </w:r>
    </w:p>
    <w:p w14:paraId="6A948713">
      <w:pPr>
        <w:pStyle w:val="2"/>
        <w:numPr>
          <w:ilvl w:val="0"/>
          <w:numId w:val="2"/>
        </w:numPr>
        <w:spacing w:before="156" w:after="156" w:line="360" w:lineRule="auto"/>
        <w:rPr>
          <w:rFonts w:eastAsia="宋体"/>
          <w:bCs/>
          <w:snapToGrid/>
          <w:kern w:val="44"/>
          <w:szCs w:val="44"/>
        </w:rPr>
      </w:pPr>
      <w:bookmarkStart w:id="75" w:name="_Toc29828"/>
      <w:r>
        <w:rPr>
          <w:rFonts w:hint="eastAsia" w:eastAsia="宋体"/>
          <w:bCs/>
          <w:snapToGrid/>
          <w:kern w:val="44"/>
          <w:szCs w:val="44"/>
        </w:rPr>
        <w:t>主要任务及重点工程</w:t>
      </w:r>
      <w:bookmarkEnd w:id="75"/>
    </w:p>
    <w:p w14:paraId="5EA06320">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76" w:name="_Toc8849"/>
      <w:r>
        <w:rPr>
          <w:rStyle w:val="28"/>
          <w:rFonts w:ascii="Times New Roman" w:hAnsi="Times New Roman"/>
          <w:color w:val="auto"/>
          <w:kern w:val="2"/>
          <w:sz w:val="32"/>
          <w:szCs w:val="32"/>
          <w:u w:val="none"/>
        </w:rPr>
        <w:t>主要任务</w:t>
      </w:r>
      <w:bookmarkEnd w:id="76"/>
    </w:p>
    <w:p w14:paraId="682A95AA">
      <w:pPr>
        <w:pStyle w:val="4"/>
        <w:numPr>
          <w:ilvl w:val="2"/>
          <w:numId w:val="2"/>
        </w:numPr>
        <w:spacing w:before="120" w:after="120" w:line="360" w:lineRule="auto"/>
        <w:rPr>
          <w:rStyle w:val="28"/>
          <w:color w:val="auto"/>
          <w:sz w:val="28"/>
          <w:szCs w:val="28"/>
          <w:u w:val="none"/>
        </w:rPr>
      </w:pPr>
      <w:bookmarkStart w:id="77" w:name="_Toc27979"/>
      <w:r>
        <w:rPr>
          <w:rStyle w:val="28"/>
          <w:rFonts w:hint="eastAsia"/>
          <w:color w:val="auto"/>
          <w:sz w:val="28"/>
          <w:szCs w:val="28"/>
          <w:u w:val="none"/>
        </w:rPr>
        <w:t>加强草原资源保护</w:t>
      </w:r>
      <w:bookmarkEnd w:id="77"/>
    </w:p>
    <w:p w14:paraId="56199363">
      <w:pPr>
        <w:spacing w:line="360" w:lineRule="auto"/>
        <w:ind w:firstLine="480" w:firstLineChars="200"/>
        <w:rPr>
          <w:rStyle w:val="27"/>
          <w:rFonts w:ascii="Times New Roman" w:hAnsi="Times New Roman"/>
          <w:b w:val="0"/>
          <w:bCs/>
          <w:sz w:val="24"/>
          <w:szCs w:val="24"/>
          <w:shd w:val="clear" w:color="auto" w:fill="FFFFFF"/>
        </w:rPr>
      </w:pPr>
      <w:r>
        <w:rPr>
          <w:rStyle w:val="27"/>
          <w:rFonts w:ascii="Times New Roman" w:hAnsi="Times New Roman"/>
          <w:b w:val="0"/>
          <w:bCs/>
          <w:sz w:val="24"/>
          <w:szCs w:val="24"/>
          <w:shd w:val="clear" w:color="auto" w:fill="FFFFFF"/>
        </w:rPr>
        <w:t>落实基本草原保护制度、生态保护红线和国土空间用途管制制度、草原征占用审核审批制度、草原执法监督制度等，严格落实《关于实行征占用草原林地分区用途管控的通知》要求，按照</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三线一单</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生态保护红线、环境质量底线、资源利用上线和生态环境准入清单）和草原“三区”用途管控要求，积极引导各类建设项目集约节约使用草原，严禁在草原上开垦、乱采滥挖和过度利用，坚决制止随意改变草原用途等破坏草原的行为。全面实施草原生态保护补助奖励政策，严格落实草畜平衡和禁牧休牧制度，加强综合执法监督管理，打击草畜平衡区超载放牧和禁牧区、休牧期偷牧行为。加强草原生态保护宣传教育，提高农牧民草原保护意识，实现从</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要我保护</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向</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我要保护</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转变。</w:t>
      </w:r>
    </w:p>
    <w:p w14:paraId="4666D945">
      <w:pPr>
        <w:pStyle w:val="4"/>
        <w:numPr>
          <w:ilvl w:val="2"/>
          <w:numId w:val="2"/>
        </w:numPr>
        <w:spacing w:before="120" w:after="120" w:line="360" w:lineRule="auto"/>
        <w:rPr>
          <w:rStyle w:val="28"/>
          <w:color w:val="auto"/>
          <w:sz w:val="28"/>
          <w:szCs w:val="28"/>
          <w:u w:val="none"/>
        </w:rPr>
      </w:pPr>
      <w:bookmarkStart w:id="78" w:name="_Toc24429"/>
      <w:r>
        <w:rPr>
          <w:rStyle w:val="28"/>
          <w:rFonts w:hint="eastAsia"/>
          <w:color w:val="auto"/>
          <w:sz w:val="28"/>
          <w:szCs w:val="28"/>
          <w:u w:val="none"/>
        </w:rPr>
        <w:t>加快退化草原科学修复</w:t>
      </w:r>
      <w:bookmarkEnd w:id="78"/>
    </w:p>
    <w:p w14:paraId="715A797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稳步推进国家重大生态治理工程建设，健全草原生态保护修复监管制度，规范开展草原生态修复治理设计施工，科学推进草原生态治理。坚持“任务、资金、措施、责任、目标”五大要素紧密结合，坚持科学绿化，量水而行，以水定绿、宜草则草、宜荒则荒原则，针对不同退化程度的草原，因地制宜、分类施策。合理布局生态修复工程项目，尤其是重要生态功能区和生态退化严重地区，要做好与草原生态保护补助奖励政策的衔接，将生态修复工程项目向禁牧区倾斜。加快严重退化草原的免耕补播修复，在不破坏或少破坏原有植被的前提下，合理选择乡土植物种加速植被改良，提高草原植被盖度、增加产草量，实现生态环境改善。做好草原生态保护修复的事前、事中、事后监督管理。加强对草原野生动植物资源的保护，通过修复和建设供给珍稀濒危野生动植物生存繁衍的栖息地，打通草原野生动植物迁移通道等措施，保护草原生物多样性。</w:t>
      </w:r>
    </w:p>
    <w:p w14:paraId="290C0E94">
      <w:pPr>
        <w:pStyle w:val="4"/>
        <w:numPr>
          <w:ilvl w:val="2"/>
          <w:numId w:val="2"/>
        </w:numPr>
        <w:spacing w:before="120" w:after="120" w:line="360" w:lineRule="auto"/>
        <w:rPr>
          <w:rStyle w:val="28"/>
          <w:color w:val="auto"/>
          <w:sz w:val="28"/>
          <w:szCs w:val="28"/>
          <w:u w:val="none"/>
        </w:rPr>
      </w:pPr>
      <w:bookmarkStart w:id="79" w:name="_Toc24386"/>
      <w:r>
        <w:rPr>
          <w:rStyle w:val="28"/>
          <w:rFonts w:hint="eastAsia"/>
          <w:color w:val="auto"/>
          <w:sz w:val="28"/>
          <w:szCs w:val="28"/>
          <w:u w:val="none"/>
        </w:rPr>
        <w:t>促进草原合理开发利用</w:t>
      </w:r>
      <w:bookmarkEnd w:id="79"/>
    </w:p>
    <w:p w14:paraId="44861C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完善草原确权承包经营机制和国有草原资源有偿使用制度，放活草原经营模式，促进草原合理高效利用。坚持“保护中利用，利用中恢复”的科学理念，依法落实草原禁牧和草畜平衡，按要求执行季节性休牧、轮牧制度，从根本上遏制草原继续退化势头。科学核定草原合理载畜量，根据特定区域草原产草量和可食牧草比率，做到以草定畜、超载减畜、减压降负，推进草原畜牧业生产从“多养”向“精养”转变，实现生态效益与经济效益双提升和草原可持续利用。充分利用农牧交错带农林草多种资源，提高草牧业耦合协调发展，在水资源充足，技术保障能力较好的地区，鼓励和支持利用农闲田、退耕还草地、饲草料地等土地资源，发展人工草地，增强饲草料就地供给保障能力。在生态红线范围外，依靠良好的生态资源，有序推进“绿水青山”向“金山银山”转化，鼓励打造一批草原旅游景区、度假地和精品旅游线路，推动草原旅游和生态康养产业发展，拓宽牧民增收渠道。</w:t>
      </w:r>
    </w:p>
    <w:p w14:paraId="0EC2DABA">
      <w:pPr>
        <w:pStyle w:val="4"/>
        <w:numPr>
          <w:ilvl w:val="2"/>
          <w:numId w:val="2"/>
        </w:numPr>
        <w:spacing w:before="120" w:after="120" w:line="360" w:lineRule="auto"/>
        <w:rPr>
          <w:rStyle w:val="28"/>
          <w:color w:val="auto"/>
          <w:sz w:val="28"/>
          <w:szCs w:val="28"/>
          <w:u w:val="none"/>
        </w:rPr>
      </w:pPr>
      <w:bookmarkStart w:id="80" w:name="_Toc13698"/>
      <w:r>
        <w:rPr>
          <w:rStyle w:val="28"/>
          <w:rFonts w:hint="eastAsia"/>
          <w:color w:val="auto"/>
          <w:sz w:val="28"/>
          <w:szCs w:val="28"/>
          <w:u w:val="none"/>
        </w:rPr>
        <w:t>推动草原碳汇试验基地建设</w:t>
      </w:r>
      <w:bookmarkEnd w:id="80"/>
    </w:p>
    <w:p w14:paraId="07ECF0C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围绕</w:t>
      </w:r>
      <w:r>
        <w:rPr>
          <w:rStyle w:val="27"/>
          <w:rFonts w:ascii="Times New Roman" w:hAnsi="Times New Roman"/>
          <w:b w:val="0"/>
          <w:bCs/>
          <w:sz w:val="24"/>
          <w:szCs w:val="24"/>
          <w:shd w:val="clear" w:color="auto" w:fill="FFFFFF"/>
        </w:rPr>
        <w:t>全国生态保护修复“双重”规划、三江源生态保护和高质量发展战略，以草原生态保护</w:t>
      </w:r>
      <w:r>
        <w:rPr>
          <w:rStyle w:val="27"/>
          <w:rFonts w:hint="eastAsia" w:ascii="Times New Roman" w:hAnsi="Times New Roman"/>
          <w:b w:val="0"/>
          <w:bCs/>
          <w:sz w:val="24"/>
          <w:szCs w:val="24"/>
          <w:shd w:val="clear" w:color="auto" w:fill="FFFFFF"/>
        </w:rPr>
        <w:t>优先区和生态修复重点区</w:t>
      </w:r>
      <w:r>
        <w:rPr>
          <w:rStyle w:val="27"/>
          <w:rFonts w:ascii="Times New Roman" w:hAnsi="Times New Roman"/>
          <w:b w:val="0"/>
          <w:bCs/>
          <w:sz w:val="24"/>
          <w:szCs w:val="24"/>
          <w:shd w:val="clear" w:color="auto" w:fill="FFFFFF"/>
        </w:rPr>
        <w:t>为主阵地，加大对草原碳汇发展区草原的科学增汇建设，探索高效低成本草原增碳减排技术路径，统筹推进退化草原修复，促进草原生态</w:t>
      </w:r>
      <w:r>
        <w:rPr>
          <w:rStyle w:val="27"/>
          <w:rFonts w:hint="eastAsia" w:ascii="Times New Roman" w:hAnsi="Times New Roman"/>
          <w:b w:val="0"/>
          <w:bCs/>
          <w:sz w:val="24"/>
          <w:szCs w:val="24"/>
          <w:shd w:val="clear" w:color="auto" w:fill="FFFFFF"/>
        </w:rPr>
        <w:t>系统质量和草原</w:t>
      </w:r>
      <w:r>
        <w:rPr>
          <w:rStyle w:val="27"/>
          <w:rFonts w:ascii="Times New Roman" w:hAnsi="Times New Roman"/>
          <w:b w:val="0"/>
          <w:bCs/>
          <w:sz w:val="24"/>
          <w:szCs w:val="24"/>
          <w:shd w:val="clear" w:color="auto" w:fill="FFFFFF"/>
        </w:rPr>
        <w:t>资源</w:t>
      </w:r>
      <w:r>
        <w:rPr>
          <w:rStyle w:val="27"/>
          <w:rFonts w:hint="eastAsia" w:ascii="Times New Roman" w:hAnsi="Times New Roman"/>
          <w:b w:val="0"/>
          <w:bCs/>
          <w:sz w:val="24"/>
          <w:szCs w:val="24"/>
          <w:shd w:val="clear" w:color="auto" w:fill="FFFFFF"/>
        </w:rPr>
        <w:t>生产力同步提升</w:t>
      </w:r>
      <w:r>
        <w:rPr>
          <w:rStyle w:val="27"/>
          <w:rFonts w:ascii="Times New Roman" w:hAnsi="Times New Roman"/>
          <w:b w:val="0"/>
          <w:bCs/>
          <w:sz w:val="24"/>
          <w:szCs w:val="24"/>
          <w:shd w:val="clear" w:color="auto" w:fill="FFFFFF"/>
        </w:rPr>
        <w:t>，提高草原自然生态系统的碳汇综合能力，探索</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低碳绿色草地畜牧业</w:t>
      </w:r>
      <w:r>
        <w:rPr>
          <w:rStyle w:val="27"/>
          <w:rFonts w:hint="eastAsia" w:ascii="Times New Roman" w:hAnsi="Times New Roman"/>
          <w:b w:val="0"/>
          <w:bCs/>
          <w:sz w:val="24"/>
          <w:szCs w:val="24"/>
          <w:shd w:val="clear" w:color="auto" w:fill="FFFFFF"/>
        </w:rPr>
        <w:t>”</w:t>
      </w:r>
      <w:r>
        <w:rPr>
          <w:rStyle w:val="27"/>
          <w:rFonts w:ascii="Times New Roman" w:hAnsi="Times New Roman"/>
          <w:b w:val="0"/>
          <w:bCs/>
          <w:sz w:val="24"/>
          <w:szCs w:val="24"/>
          <w:shd w:val="clear" w:color="auto" w:fill="FFFFFF"/>
        </w:rPr>
        <w:t>，建立增汇试验示范基地</w:t>
      </w:r>
      <w:r>
        <w:rPr>
          <w:rStyle w:val="27"/>
          <w:rFonts w:hint="eastAsia" w:ascii="Times New Roman" w:hAnsi="Times New Roman"/>
          <w:b w:val="0"/>
          <w:bCs/>
          <w:sz w:val="24"/>
          <w:szCs w:val="24"/>
          <w:shd w:val="clear" w:color="auto" w:fill="FFFFFF"/>
        </w:rPr>
        <w:t>，降低碳排放。</w:t>
      </w:r>
    </w:p>
    <w:p w14:paraId="6E527FFA">
      <w:pPr>
        <w:pStyle w:val="4"/>
        <w:numPr>
          <w:ilvl w:val="2"/>
          <w:numId w:val="2"/>
        </w:numPr>
        <w:spacing w:before="120" w:after="120" w:line="360" w:lineRule="auto"/>
        <w:rPr>
          <w:rStyle w:val="28"/>
          <w:color w:val="auto"/>
          <w:sz w:val="28"/>
          <w:szCs w:val="28"/>
          <w:u w:val="none"/>
        </w:rPr>
      </w:pPr>
      <w:bookmarkStart w:id="81" w:name="_Toc26680"/>
      <w:r>
        <w:rPr>
          <w:rStyle w:val="28"/>
          <w:rFonts w:hint="eastAsia"/>
          <w:color w:val="auto"/>
          <w:sz w:val="28"/>
          <w:szCs w:val="28"/>
          <w:u w:val="none"/>
        </w:rPr>
        <w:t>增强草原支撑保障能力</w:t>
      </w:r>
      <w:bookmarkEnd w:id="81"/>
    </w:p>
    <w:p w14:paraId="2E63EBE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建立健全草原资源调查体系和生态状况监测评价体系，查清草原资源的分布、面积、权属、性质等基本情况，及时掌握全市草原面积、范围及年度利用现状变化信息，每年进行一次动态监测，每5年开展一次专项调查，查清草资源、草原类型、生物量、等级、生态健康状况、草原碳汇以及变化情况。推进草原数字化监管体系建设，建立草原“天空看、地面查、全覆盖、无死角”的动态监测体系和草畜平衡监测预警平台，推行“数字化监管、网格化落责”。提高草原生物灾害与非生物灾害的监测水平，布设固定监测站点，完善多层级监测预报预警网络体系，加强应急物资储备库建设，提升灾害应急防控能力。增强草原保护修复科技支撑能力，引进、培育科技成果，推进成果转化应用。加快推动草原基础性工作开展，建立草原资源一张图，开展草种质资源普查、收集和相关数据库建设，推进草种质资源的评价、挖掘、利用和乡土草种业发展。加强支撑队伍建设，重视专业人才和乡土人才的引培，推进基层林草工作站建设，提高工作人员业务能力。</w:t>
      </w:r>
    </w:p>
    <w:p w14:paraId="7AEFA782">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82" w:name="_Toc19363"/>
      <w:r>
        <w:rPr>
          <w:rStyle w:val="28"/>
          <w:rFonts w:ascii="Times New Roman" w:hAnsi="Times New Roman"/>
          <w:color w:val="auto"/>
          <w:kern w:val="2"/>
          <w:sz w:val="32"/>
          <w:szCs w:val="32"/>
          <w:u w:val="none"/>
        </w:rPr>
        <w:t>重点工程</w:t>
      </w:r>
      <w:bookmarkEnd w:id="82"/>
    </w:p>
    <w:p w14:paraId="386CC29C">
      <w:pPr>
        <w:pStyle w:val="4"/>
        <w:numPr>
          <w:ilvl w:val="2"/>
          <w:numId w:val="2"/>
        </w:numPr>
        <w:spacing w:before="120" w:after="120" w:line="360" w:lineRule="auto"/>
        <w:rPr>
          <w:rStyle w:val="28"/>
          <w:color w:val="auto"/>
          <w:sz w:val="28"/>
          <w:szCs w:val="28"/>
          <w:u w:val="none"/>
        </w:rPr>
      </w:pPr>
      <w:bookmarkStart w:id="83" w:name="_Toc6890"/>
      <w:r>
        <w:rPr>
          <w:rStyle w:val="28"/>
          <w:color w:val="auto"/>
          <w:sz w:val="28"/>
          <w:szCs w:val="28"/>
          <w:u w:val="none"/>
        </w:rPr>
        <w:t>草原资源保护工程</w:t>
      </w:r>
      <w:bookmarkEnd w:id="83"/>
    </w:p>
    <w:p w14:paraId="6053A3F0">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基本草原保护管理</w:t>
      </w:r>
    </w:p>
    <w:p w14:paraId="43DD084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（一）基本草原划定依据</w:t>
      </w:r>
    </w:p>
    <w:p w14:paraId="4C4E73F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依据《中华人民共和国草原法》第四十二条：国家实行基本草原保护制度。下列草原应当划为基本草原，实施严格管理：</w:t>
      </w:r>
    </w:p>
    <w:p w14:paraId="2C49DE8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1.重要放牧场；</w:t>
      </w:r>
    </w:p>
    <w:p w14:paraId="3EDF818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2.割草地；</w:t>
      </w:r>
    </w:p>
    <w:p w14:paraId="0077FC0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3.用于畜牧业生产的人工草地、退耕还草地以及改良草地、草种基地；</w:t>
      </w:r>
    </w:p>
    <w:p w14:paraId="325179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4.对调节气候、涵养水源、保持水土、防风固沙具有特殊作用的草原；</w:t>
      </w:r>
    </w:p>
    <w:p w14:paraId="66F4BDC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5.作为国家重点保护野生动植物生存环境的草原；</w:t>
      </w:r>
    </w:p>
    <w:p w14:paraId="14FA81DF">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6.草原科研、教学试验基地；</w:t>
      </w:r>
    </w:p>
    <w:p w14:paraId="1DFD608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7.国务院规定应当划为基本草原的其他草原。</w:t>
      </w:r>
    </w:p>
    <w:p w14:paraId="267FA8B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基本草原的保护管理办法，由国务院制定。</w:t>
      </w:r>
    </w:p>
    <w:p w14:paraId="69E284D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根据昌都市2024年林草湿综合监测数据，昌都市草原面积为5092449.10公顷，昌都市基本草原面积为4045320.03公顷，占全市草地面积的79.44%。</w:t>
      </w:r>
    </w:p>
    <w:p w14:paraId="53D514B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（二）基本草原管理制度</w:t>
      </w:r>
    </w:p>
    <w:p w14:paraId="735AA17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国家林业和草原局《草原征占用审核审批管理规范》（林草规〔2020〕2号）第五条规定“除国务院批准同意的建设项目，国务院有关部门、省级人民政府及其有关部门批准同意的基础设施、公共事业、民生建设项目和国防外交建设项目外，不得占用基本草原”。</w:t>
      </w:r>
    </w:p>
    <w:p w14:paraId="24BCFF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（三）基本草原保护和管理</w:t>
      </w:r>
    </w:p>
    <w:p w14:paraId="2433F185">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人民政府制定基本草原保护制度，实行基本草原用途管制，强化基本草原管理，确保基本草原面积不减少、质量不下降、用途不改变。</w:t>
      </w:r>
      <w:r>
        <w:rPr>
          <w:rStyle w:val="27"/>
          <w:rFonts w:ascii="Times New Roman" w:hAnsi="Times New Roman"/>
          <w:b w:val="0"/>
          <w:bCs/>
          <w:sz w:val="24"/>
          <w:szCs w:val="24"/>
          <w:shd w:val="clear" w:color="auto" w:fill="FFFFFF"/>
        </w:rPr>
        <w:t>对划定的基本草原按照自治区</w:t>
      </w:r>
      <w:r>
        <w:rPr>
          <w:rStyle w:val="27"/>
          <w:rFonts w:hint="eastAsia" w:ascii="Times New Roman" w:hAnsi="Times New Roman"/>
          <w:b w:val="0"/>
          <w:bCs/>
          <w:sz w:val="24"/>
          <w:szCs w:val="24"/>
          <w:shd w:val="clear" w:color="auto" w:fill="FFFFFF"/>
        </w:rPr>
        <w:t>及</w:t>
      </w:r>
      <w:r>
        <w:rPr>
          <w:rStyle w:val="27"/>
          <w:rFonts w:ascii="Times New Roman" w:hAnsi="Times New Roman"/>
          <w:b w:val="0"/>
          <w:bCs/>
          <w:sz w:val="24"/>
          <w:szCs w:val="24"/>
          <w:shd w:val="clear" w:color="auto" w:fill="FFFFFF"/>
        </w:rPr>
        <w:t>昌都市有关基本草原管理办法实施更加严格的保护和管理制度。</w:t>
      </w:r>
    </w:p>
    <w:p w14:paraId="140E292E">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明确草场资源保护与利用目标</w:t>
      </w:r>
    </w:p>
    <w:p w14:paraId="2A8B352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完善草地保护修复制度，科学保护与有序开发草地资源。积极推进草原确权，落实草地用途管制，实施草地保护和修复工程，强化天然草地保护性利用。根据</w:t>
      </w:r>
      <w:r>
        <w:rPr>
          <w:rFonts w:ascii="Times New Roman" w:hAnsi="Times New Roman" w:cs="Times New Roman"/>
          <w:kern w:val="0"/>
          <w:sz w:val="24"/>
          <w:szCs w:val="24"/>
          <w:shd w:val="clear" w:color="auto" w:fill="FFFFFF"/>
        </w:rPr>
        <w:t>《昌都市国土空间</w:t>
      </w:r>
      <w:r>
        <w:rPr>
          <w:rFonts w:hint="eastAsia" w:ascii="Times New Roman" w:hAnsi="Times New Roman" w:cs="Times New Roman"/>
          <w:kern w:val="0"/>
          <w:sz w:val="24"/>
          <w:szCs w:val="24"/>
          <w:shd w:val="clear" w:color="auto" w:fill="FFFFFF"/>
        </w:rPr>
        <w:t>总体</w:t>
      </w:r>
      <w:r>
        <w:rPr>
          <w:rFonts w:ascii="Times New Roman" w:hAnsi="Times New Roman" w:cs="Times New Roman"/>
          <w:kern w:val="0"/>
          <w:sz w:val="24"/>
          <w:szCs w:val="24"/>
          <w:shd w:val="clear" w:color="auto" w:fill="FFFFFF"/>
        </w:rPr>
        <w:t>规划（202</w:t>
      </w:r>
      <w:r>
        <w:rPr>
          <w:rFonts w:hint="eastAsia" w:ascii="Times New Roman" w:hAnsi="Times New Roman" w:cs="Times New Roman"/>
          <w:kern w:val="0"/>
          <w:sz w:val="24"/>
          <w:szCs w:val="24"/>
          <w:shd w:val="clear" w:color="auto" w:fill="FFFFFF"/>
        </w:rPr>
        <w:t>1-</w:t>
      </w:r>
      <w:r>
        <w:rPr>
          <w:rFonts w:ascii="Times New Roman" w:hAnsi="Times New Roman" w:cs="Times New Roman"/>
          <w:kern w:val="0"/>
          <w:sz w:val="24"/>
          <w:szCs w:val="24"/>
          <w:shd w:val="clear" w:color="auto" w:fill="FFFFFF"/>
        </w:rPr>
        <w:t>2035年）》要求，</w:t>
      </w:r>
      <w:r>
        <w:rPr>
          <w:rStyle w:val="27"/>
          <w:rFonts w:hint="eastAsia" w:ascii="Times New Roman" w:hAnsi="Times New Roman"/>
          <w:b w:val="0"/>
          <w:bCs/>
          <w:sz w:val="24"/>
          <w:szCs w:val="24"/>
          <w:shd w:val="clear" w:color="auto" w:fill="FFFFFF"/>
        </w:rPr>
        <w:t>至2035年，昌都市草原综合植被盖度不低于79%，草原生态功能和生产能力明显提升。</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7E9C4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19E5BB90">
            <w:pPr>
              <w:rPr>
                <w:rFonts w:ascii="Times New Roman" w:hAnsi="Times New Roman" w:cs="Times New Roman"/>
                <w:bCs/>
                <w:kern w:val="44"/>
                <w:szCs w:val="44"/>
              </w:rPr>
            </w:pPr>
            <w:r>
              <w:rPr>
                <w:rFonts w:ascii="Times New Roman" w:cs="Times New Roman" w:hAnsiTheme="minorEastAsia"/>
                <w:b/>
                <w:kern w:val="44"/>
                <w:szCs w:val="44"/>
              </w:rPr>
              <w:t>专栏</w:t>
            </w:r>
            <w:r>
              <w:rPr>
                <w:rFonts w:ascii="Times New Roman" w:hAnsi="Times New Roman" w:cs="Times New Roman"/>
                <w:b/>
                <w:kern w:val="44"/>
                <w:szCs w:val="44"/>
              </w:rPr>
              <w:t>5-1</w:t>
            </w:r>
            <w:r>
              <w:rPr>
                <w:rStyle w:val="27"/>
                <w:rFonts w:ascii="Times New Roman" w:cs="Times New Roman" w:hAnsiTheme="minorEastAsia"/>
                <w:sz w:val="24"/>
                <w:szCs w:val="24"/>
                <w:shd w:val="clear" w:color="auto" w:fill="FFFFFF"/>
              </w:rPr>
              <w:t>草原资源保护重点工程</w:t>
            </w:r>
          </w:p>
        </w:tc>
      </w:tr>
      <w:tr w14:paraId="1BADE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7D12F65D">
            <w:pPr>
              <w:pStyle w:val="39"/>
              <w:spacing w:line="360" w:lineRule="auto"/>
              <w:rPr>
                <w:rFonts w:ascii="Times New Roman" w:hAnsi="Times New Roman" w:cs="Times New Roman" w:eastAsiaTheme="minorEastAsia"/>
                <w:bCs/>
                <w:szCs w:val="24"/>
              </w:rPr>
            </w:pPr>
            <w:r>
              <w:rPr>
                <w:rFonts w:ascii="Times New Roman" w:cs="Times New Roman" w:hAnsiTheme="minorEastAsia" w:eastAsiaTheme="minorEastAsia"/>
                <w:bCs/>
                <w:szCs w:val="24"/>
              </w:rPr>
              <w:t>（</w:t>
            </w:r>
            <w:r>
              <w:rPr>
                <w:rFonts w:hint="eastAsia" w:ascii="Times New Roman" w:hAnsi="Times New Roman" w:cs="Times New Roman" w:eastAsiaTheme="minorEastAsia"/>
                <w:bCs/>
                <w:szCs w:val="24"/>
              </w:rPr>
              <w:t>1</w:t>
            </w:r>
            <w:r>
              <w:rPr>
                <w:rFonts w:ascii="Times New Roman" w:cs="Times New Roman" w:hAnsiTheme="minorEastAsia" w:eastAsiaTheme="minorEastAsia"/>
                <w:bCs/>
                <w:szCs w:val="24"/>
              </w:rPr>
              <w:t>）基本草原划定、保护和管理</w:t>
            </w:r>
          </w:p>
          <w:p w14:paraId="08D87726">
            <w:pPr>
              <w:spacing w:line="360" w:lineRule="auto"/>
              <w:ind w:firstLine="480" w:firstLineChars="200"/>
              <w:rPr>
                <w:rFonts w:ascii="Times New Roman" w:cs="Times New Roman" w:hAnsiTheme="minorEastAsia"/>
                <w:bCs/>
                <w:sz w:val="24"/>
                <w:szCs w:val="24"/>
              </w:rPr>
            </w:pPr>
            <w:r>
              <w:rPr>
                <w:rFonts w:ascii="Times New Roman" w:cs="Times New Roman" w:hAnsiTheme="minorEastAsia"/>
                <w:bCs/>
                <w:sz w:val="24"/>
                <w:szCs w:val="24"/>
              </w:rPr>
              <w:t>积极落实基本草原保护制度。科学合理划定基本草原范围，落实最严格的保护和管理措施，确保基本草原面积不减少、质量不下降、用途不改变。</w:t>
            </w:r>
          </w:p>
          <w:p w14:paraId="28AE805C">
            <w:pPr>
              <w:pStyle w:val="39"/>
              <w:spacing w:line="360" w:lineRule="auto"/>
              <w:rPr>
                <w:rFonts w:ascii="Times New Roman" w:hAnsi="Times New Roman" w:cs="Times New Roman" w:eastAsiaTheme="minorEastAsia"/>
                <w:bCs/>
                <w:szCs w:val="24"/>
              </w:rPr>
            </w:pPr>
            <w:r>
              <w:rPr>
                <w:rFonts w:ascii="Times New Roman" w:cs="Times New Roman" w:hAnsiTheme="minorEastAsia" w:eastAsiaTheme="minorEastAsia"/>
                <w:bCs/>
                <w:szCs w:val="24"/>
              </w:rPr>
              <w:t>（</w:t>
            </w:r>
            <w:r>
              <w:rPr>
                <w:rFonts w:hint="eastAsia" w:ascii="Times New Roman" w:hAnsi="Times New Roman" w:cs="Times New Roman" w:eastAsiaTheme="minorEastAsia"/>
                <w:bCs/>
                <w:szCs w:val="24"/>
              </w:rPr>
              <w:t>2</w:t>
            </w:r>
            <w:r>
              <w:rPr>
                <w:rFonts w:ascii="Times New Roman" w:cs="Times New Roman" w:hAnsiTheme="minorEastAsia" w:eastAsiaTheme="minorEastAsia"/>
                <w:bCs/>
                <w:szCs w:val="24"/>
              </w:rPr>
              <w:t>）明确草场资源保护与利用目标</w:t>
            </w:r>
          </w:p>
          <w:p w14:paraId="5FDC6ED2">
            <w:pPr>
              <w:spacing w:line="360" w:lineRule="auto"/>
              <w:ind w:firstLine="480" w:firstLineChars="200"/>
              <w:rPr>
                <w:rStyle w:val="27"/>
                <w:rFonts w:ascii="Times New Roman" w:hAnsi="Times New Roman" w:cs="Times New Roman"/>
                <w:b w:val="0"/>
                <w:bCs/>
                <w:sz w:val="24"/>
                <w:szCs w:val="24"/>
                <w:shd w:val="clear" w:color="auto" w:fill="FFFFFF"/>
              </w:rPr>
            </w:pPr>
            <w:r>
              <w:rPr>
                <w:rFonts w:ascii="Times New Roman" w:cs="Times New Roman" w:hAnsiTheme="minorEastAsia"/>
                <w:bCs/>
                <w:sz w:val="24"/>
                <w:szCs w:val="24"/>
              </w:rPr>
              <w:t>完善草地保护修复制度，科学保护与有序开发草地资源。积极推进草原确权，落实草地用途管制，实施草地保护和修复工程，强化天然草地保护性利用。</w:t>
            </w:r>
            <w:r>
              <w:rPr>
                <w:rFonts w:hint="eastAsia" w:ascii="Times New Roman" w:cs="Times New Roman" w:hAnsiTheme="minorEastAsia"/>
                <w:bCs/>
                <w:sz w:val="24"/>
                <w:szCs w:val="24"/>
              </w:rPr>
              <w:t>根据《昌都市国土空间总体规划（2021- 2035年）》要求，</w:t>
            </w:r>
            <w:r>
              <w:rPr>
                <w:rFonts w:ascii="Times New Roman" w:cs="Times New Roman" w:hAnsiTheme="minorEastAsia"/>
                <w:bCs/>
                <w:sz w:val="24"/>
                <w:szCs w:val="24"/>
              </w:rPr>
              <w:t>至</w:t>
            </w:r>
            <w:r>
              <w:rPr>
                <w:rFonts w:ascii="Times New Roman" w:hAnsi="Times New Roman" w:cs="Times New Roman"/>
                <w:bCs/>
                <w:sz w:val="24"/>
                <w:szCs w:val="24"/>
              </w:rPr>
              <w:t>2035</w:t>
            </w:r>
            <w:r>
              <w:rPr>
                <w:rFonts w:ascii="Times New Roman" w:cs="Times New Roman" w:hAnsiTheme="minorEastAsia"/>
                <w:bCs/>
                <w:sz w:val="24"/>
                <w:szCs w:val="24"/>
              </w:rPr>
              <w:t>年，草原综合植被盖度不低于</w:t>
            </w:r>
            <w:r>
              <w:rPr>
                <w:rFonts w:ascii="Times New Roman" w:hAnsi="Times New Roman" w:cs="Times New Roman"/>
                <w:bCs/>
                <w:sz w:val="24"/>
                <w:szCs w:val="24"/>
              </w:rPr>
              <w:t>79%</w:t>
            </w:r>
            <w:r>
              <w:rPr>
                <w:rFonts w:ascii="Times New Roman" w:cs="Times New Roman" w:hAnsiTheme="minorEastAsia"/>
                <w:bCs/>
                <w:sz w:val="24"/>
                <w:szCs w:val="24"/>
              </w:rPr>
              <w:t>，草原生态功能和生产能力明显提升。</w:t>
            </w:r>
          </w:p>
        </w:tc>
      </w:tr>
    </w:tbl>
    <w:p w14:paraId="45204A3C"/>
    <w:p w14:paraId="232F6391">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草原禁牧和草畜平衡监管</w:t>
      </w:r>
    </w:p>
    <w:p w14:paraId="6DCADD4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严格落实草原利用制度，加快转变传统草原畜牧业生产方式，提升草原科学经营和合理利用的水平和效益。牧区要以实现草畜平衡为目标，优化畜群结构，控制牲畜数量，提高科学饲养和放牧管理水平，减轻天然草原放牧压力。继续实施草原生态保护补助奖励政策，对纳入政策范围的草原给予禁牧补助和草畜平衡奖励，全面实行禁牧休牧轮牧制度和草畜平衡制度，防止过度利用。半农半牧区要加大退耕还草力度，按照以水定草的原则，因地制宜建设多年生人工草原，发展适度规模经营。农区要结合退耕还草、草田轮作等工作，大力发展人工草原，提高饲草供给能力，发展规模化、标准化养殖。要优化牧区、半农半牧区和农区资源配置，推行“牧区繁育、农区育肥”等生产模式，提高资源利用效率。支持草产品加工业发展，建立完善草产品质量标准体系。强化农牧民培训，提升农牧民科学保护、合理利用草原的能力和水平。</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5A5E7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3483423C">
            <w:pPr>
              <w:rPr>
                <w:rFonts w:ascii="Times New Roman" w:hAnsi="Times New Roman" w:cs="Times New Roman"/>
                <w:bCs/>
                <w:kern w:val="44"/>
                <w:szCs w:val="21"/>
              </w:rPr>
            </w:pPr>
            <w:r>
              <w:rPr>
                <w:rFonts w:ascii="Times New Roman" w:cs="Times New Roman" w:hAnsiTheme="minorEastAsia"/>
                <w:b/>
                <w:kern w:val="44"/>
                <w:sz w:val="24"/>
                <w:szCs w:val="24"/>
              </w:rPr>
              <w:t>专栏5-2草原禁牧及草畜平衡重点工程</w:t>
            </w:r>
          </w:p>
        </w:tc>
      </w:tr>
      <w:tr w14:paraId="274C6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8F4AC44">
            <w:pPr>
              <w:pStyle w:val="39"/>
              <w:spacing w:line="360" w:lineRule="auto"/>
              <w:rPr>
                <w:rFonts w:ascii="Times New Roman" w:cs="Times New Roman" w:hAnsiTheme="minorEastAsia" w:eastAsiaTheme="minorEastAsia"/>
                <w:bCs/>
                <w:szCs w:val="24"/>
              </w:rPr>
            </w:pPr>
            <w:r>
              <w:rPr>
                <w:rFonts w:hint="eastAsia" w:ascii="Times New Roman" w:cs="Times New Roman" w:hAnsiTheme="minorEastAsia" w:eastAsiaTheme="minorEastAsia"/>
                <w:bCs/>
                <w:szCs w:val="24"/>
              </w:rPr>
              <w:t>严格落实草原利用制度，加快转变传统草原畜牧业生产方式，提升草原科学经营和合理利用的水平和效益。牧区要以实现草畜平衡为目标，优化畜群结构，控制牲畜数量，提高科学饲养和放牧管理水平，减轻天然草原放牧压力。</w:t>
            </w:r>
          </w:p>
          <w:p w14:paraId="06AB18AA">
            <w:pPr>
              <w:pStyle w:val="39"/>
              <w:spacing w:line="360" w:lineRule="auto"/>
              <w:rPr>
                <w:rFonts w:ascii="Times New Roman" w:hAnsi="Times New Roman" w:cs="Times New Roman" w:eastAsiaTheme="minorEastAsia"/>
                <w:bCs/>
                <w:sz w:val="21"/>
              </w:rPr>
            </w:pPr>
            <w:r>
              <w:rPr>
                <w:rFonts w:ascii="Times New Roman" w:cs="Times New Roman" w:hAnsiTheme="minorEastAsia" w:eastAsiaTheme="minorEastAsia"/>
                <w:bCs/>
                <w:szCs w:val="24"/>
              </w:rPr>
              <w:t>到</w:t>
            </w:r>
            <w:r>
              <w:rPr>
                <w:rFonts w:ascii="Times New Roman" w:hAnsi="Times New Roman" w:cs="Times New Roman" w:eastAsiaTheme="minorEastAsia"/>
                <w:bCs/>
                <w:szCs w:val="24"/>
              </w:rPr>
              <w:t>2035</w:t>
            </w:r>
            <w:r>
              <w:rPr>
                <w:rFonts w:ascii="Times New Roman" w:cs="Times New Roman" w:hAnsiTheme="minorEastAsia" w:eastAsiaTheme="minorEastAsia"/>
                <w:bCs/>
                <w:szCs w:val="24"/>
              </w:rPr>
              <w:t>年全市规划实施草原禁牧面积</w:t>
            </w:r>
            <w:r>
              <w:rPr>
                <w:rFonts w:ascii="Times New Roman" w:hAnsi="Times New Roman" w:cs="Times New Roman" w:eastAsiaTheme="minorEastAsia"/>
                <w:bCs/>
                <w:szCs w:val="24"/>
              </w:rPr>
              <w:t>800</w:t>
            </w:r>
            <w:r>
              <w:rPr>
                <w:rFonts w:ascii="Times New Roman" w:cs="Times New Roman" w:hAnsiTheme="minorEastAsia" w:eastAsiaTheme="minorEastAsia"/>
                <w:bCs/>
                <w:szCs w:val="24"/>
              </w:rPr>
              <w:t>万亩，草畜平衡管理面积</w:t>
            </w:r>
            <w:r>
              <w:rPr>
                <w:rFonts w:hint="eastAsia" w:ascii="Times New Roman" w:hAnsi="Times New Roman" w:cs="Times New Roman" w:eastAsiaTheme="minorEastAsia"/>
                <w:bCs/>
                <w:szCs w:val="24"/>
              </w:rPr>
              <w:t>6860.70</w:t>
            </w:r>
            <w:r>
              <w:rPr>
                <w:rFonts w:ascii="Times New Roman" w:cs="Times New Roman" w:hAnsiTheme="minorEastAsia" w:eastAsiaTheme="minorEastAsia"/>
                <w:bCs/>
                <w:szCs w:val="24"/>
              </w:rPr>
              <w:t>万亩。</w:t>
            </w:r>
          </w:p>
        </w:tc>
      </w:tr>
    </w:tbl>
    <w:p w14:paraId="5789C372"/>
    <w:p w14:paraId="7B4918BB">
      <w:pPr>
        <w:pStyle w:val="5"/>
        <w:numPr>
          <w:ilvl w:val="3"/>
          <w:numId w:val="2"/>
        </w:numPr>
        <w:spacing w:before="120" w:after="120" w:line="360" w:lineRule="auto"/>
        <w:ind w:left="862" w:hanging="862"/>
        <w:rPr>
          <w:rFonts w:ascii="Times New Roman" w:hAnsi="Times New Roman" w:eastAsia="宋体"/>
          <w:color w:val="1901FB"/>
          <w:sz w:val="24"/>
          <w:szCs w:val="24"/>
        </w:rPr>
      </w:pPr>
      <w:r>
        <w:rPr>
          <w:rFonts w:hint="eastAsia" w:ascii="Batang" w:hAnsi="Batang" w:cs="Batang" w:eastAsiaTheme="minorEastAsia"/>
          <w:color w:val="1901FB"/>
          <w:sz w:val="24"/>
          <w:szCs w:val="24"/>
        </w:rPr>
        <w:t>探索建设</w:t>
      </w:r>
      <w:r>
        <w:rPr>
          <w:rFonts w:hint="eastAsia" w:ascii="Times New Roman" w:hAnsi="Times New Roman" w:eastAsia="宋体"/>
          <w:color w:val="1901FB"/>
          <w:sz w:val="24"/>
          <w:szCs w:val="24"/>
        </w:rPr>
        <w:t>国有草场工程</w:t>
      </w:r>
    </w:p>
    <w:p w14:paraId="50AC9AF3">
      <w:pPr>
        <w:spacing w:line="360" w:lineRule="auto"/>
        <w:ind w:firstLine="480" w:firstLineChars="200"/>
        <w:rPr>
          <w:rStyle w:val="27"/>
          <w:rFonts w:hint="eastAsia" w:ascii="Times New Roman" w:eastAsia="Malgun Gothic"/>
          <w:b w:val="0"/>
          <w:bCs/>
          <w:sz w:val="24"/>
          <w:szCs w:val="24"/>
          <w:shd w:val="clear" w:color="auto" w:fill="FFFFFF"/>
          <w:lang w:eastAsia="ko-KR"/>
        </w:rPr>
      </w:pPr>
    </w:p>
    <w:p w14:paraId="3B56D72F">
      <w:pPr>
        <w:spacing w:line="360" w:lineRule="auto"/>
        <w:ind w:firstLine="480" w:firstLineChars="200"/>
        <w:rPr>
          <w:rStyle w:val="27"/>
          <w:rFonts w:hint="eastAsia" w:ascii="Times New Roman" w:hAnsi="Times New Roman"/>
          <w:b w:val="0"/>
          <w:bCs/>
          <w:color w:val="1901FB"/>
          <w:sz w:val="24"/>
          <w:szCs w:val="24"/>
          <w:shd w:val="clear" w:color="auto" w:fill="FFFFFF"/>
        </w:rPr>
      </w:pPr>
      <w:r>
        <w:rPr>
          <w:rStyle w:val="27"/>
          <w:rFonts w:hint="eastAsia" w:ascii="Times New Roman"/>
          <w:b w:val="0"/>
          <w:bCs/>
          <w:sz w:val="24"/>
          <w:szCs w:val="24"/>
          <w:shd w:val="clear" w:color="auto" w:fill="FFFFFF"/>
        </w:rPr>
        <w:t>为防止过度放牧和草原退化，提升草原生态功能，将草原生态保护放在首位，以自然恢复为主，人工修复为辅，促进草畜平衡，</w:t>
      </w:r>
      <w:r>
        <w:rPr>
          <w:rStyle w:val="27"/>
          <w:rFonts w:hint="eastAsia" w:ascii="Times New Roman" w:hAnsi="Times New Roman"/>
          <w:b w:val="0"/>
          <w:bCs/>
          <w:sz w:val="24"/>
          <w:szCs w:val="24"/>
          <w:shd w:val="clear" w:color="auto" w:fill="FFFFFF"/>
        </w:rPr>
        <w:t>以节约优先、集中连片、适度规模化</w:t>
      </w:r>
      <w:r>
        <w:rPr>
          <w:rStyle w:val="27"/>
          <w:rFonts w:hint="eastAsia" w:ascii="Times New Roman" w:hAnsi="Times New Roman"/>
          <w:b w:val="0"/>
          <w:bCs/>
          <w:color w:val="1901FB"/>
          <w:sz w:val="24"/>
          <w:szCs w:val="24"/>
          <w:shd w:val="clear" w:color="auto" w:fill="FFFFFF"/>
        </w:rPr>
        <w:t>为原则，</w:t>
      </w:r>
      <w:r>
        <w:rPr>
          <w:rStyle w:val="27"/>
          <w:rFonts w:hint="eastAsia" w:ascii="Batang" w:hAnsi="Batang" w:cs="Batang"/>
          <w:b w:val="0"/>
          <w:bCs/>
          <w:color w:val="1901FB"/>
          <w:sz w:val="24"/>
          <w:szCs w:val="24"/>
          <w:shd w:val="clear" w:color="auto" w:fill="FFFFFF"/>
        </w:rPr>
        <w:t>拟在昌都市范围内探索新建国有草场。</w:t>
      </w:r>
    </w:p>
    <w:p w14:paraId="63C9F452">
      <w:pPr>
        <w:spacing w:line="360" w:lineRule="auto"/>
        <w:ind w:firstLine="480" w:firstLineChars="200"/>
        <w:rPr>
          <w:rStyle w:val="27"/>
          <w:rFonts w:hint="eastAsia" w:ascii="Times New Roman"/>
          <w:b w:val="0"/>
          <w:bCs/>
          <w:color w:val="1901FB"/>
          <w:sz w:val="24"/>
          <w:szCs w:val="24"/>
          <w:shd w:val="clear" w:color="auto" w:fill="FFFFFF"/>
        </w:rPr>
      </w:pPr>
      <w:r>
        <w:rPr>
          <w:rStyle w:val="27"/>
          <w:rFonts w:hint="eastAsia" w:ascii="Times New Roman"/>
          <w:b w:val="0"/>
          <w:bCs/>
          <w:color w:val="1901FB"/>
          <w:sz w:val="24"/>
          <w:szCs w:val="24"/>
          <w:shd w:val="clear" w:color="auto" w:fill="FFFFFF"/>
        </w:rPr>
        <w:t>根据现行法律法规和昌都市的最新政策导向，在草场已基本承包到户的情况下，原则上不能再以传统方式大面积新建国有草场，但可以通过国家项目、租赁流转、征占用等特定途径实现“国有化”管理或建设。</w:t>
      </w:r>
    </w:p>
    <w:p w14:paraId="332C5190">
      <w:pPr>
        <w:spacing w:line="360" w:lineRule="auto"/>
        <w:ind w:firstLine="480" w:firstLineChars="200"/>
        <w:rPr>
          <w:rStyle w:val="27"/>
          <w:rFonts w:hint="eastAsia" w:ascii="Times New Roman" w:eastAsia="Malgun Gothic"/>
          <w:b w:val="0"/>
          <w:bCs/>
          <w:color w:val="1901FB"/>
          <w:sz w:val="24"/>
          <w:szCs w:val="24"/>
          <w:shd w:val="clear" w:color="auto" w:fill="FFFFFF"/>
        </w:rPr>
      </w:pPr>
      <w:r>
        <w:rPr>
          <w:rStyle w:val="27"/>
          <w:rFonts w:hint="eastAsia" w:ascii="Times New Roman"/>
          <w:b w:val="0"/>
          <w:bCs/>
          <w:color w:val="1901FB"/>
          <w:sz w:val="24"/>
          <w:szCs w:val="24"/>
          <w:shd w:val="clear" w:color="auto" w:fill="FFFFFF"/>
        </w:rPr>
        <w:t>昌都市目前草场基本承包到户，这与全区的政策导向一致。根据西藏自治区及国家层面的改革思路，当前实行的是草原所有权、承包权、经营权“三权分置”，即，所有权归国家或集体，承包权归承包到户的农牧民，受法律严格保护，经营权归实际经营者，因此</w:t>
      </w:r>
      <w:r>
        <w:rPr>
          <w:rFonts w:ascii="Segoe UI" w:hAnsi="Segoe UI" w:cs="Segoe UI"/>
          <w:color w:val="1901FB"/>
          <w:sz w:val="27"/>
          <w:szCs w:val="27"/>
          <w:shd w:val="clear" w:color="auto" w:fill="FFFFFF"/>
        </w:rPr>
        <w:t>“承包权归户，经营权可流转”</w:t>
      </w:r>
      <w:r>
        <w:rPr>
          <w:rStyle w:val="27"/>
          <w:rFonts w:hint="eastAsia" w:ascii="Times New Roman"/>
          <w:b w:val="0"/>
          <w:bCs/>
          <w:color w:val="1901FB"/>
          <w:sz w:val="24"/>
          <w:szCs w:val="24"/>
          <w:shd w:val="clear" w:color="auto" w:fill="FFFFFF"/>
        </w:rPr>
        <w:t>。</w:t>
      </w:r>
      <w:r>
        <w:rPr>
          <w:rFonts w:hint="eastAsia"/>
          <w:color w:val="1901FB"/>
        </w:rPr>
        <w:t xml:space="preserve"> </w:t>
      </w:r>
      <w:r>
        <w:rPr>
          <w:rStyle w:val="27"/>
          <w:rFonts w:hint="eastAsia" w:ascii="Times New Roman"/>
          <w:b w:val="0"/>
          <w:bCs/>
          <w:color w:val="1901FB"/>
          <w:sz w:val="24"/>
          <w:szCs w:val="24"/>
          <w:shd w:val="clear" w:color="auto" w:fill="FFFFFF"/>
        </w:rPr>
        <w:t>这意味着草场的承包经营权是受法律保护的农牧民财产，政府不能随意收回或改变其性质。但这并不完全排斥国有草场的建设。虽然草场被承包了，但其经营权是可以依法流转的。新建“国有草场”的关键，就是政府或国企通过合法途径成为“经营者”。</w:t>
      </w:r>
    </w:p>
    <w:p w14:paraId="0212C79D">
      <w:pPr>
        <w:spacing w:line="360" w:lineRule="auto"/>
        <w:ind w:firstLine="480" w:firstLineChars="200"/>
        <w:rPr>
          <w:rStyle w:val="27"/>
          <w:rFonts w:hint="eastAsia" w:ascii="Times New Roman"/>
          <w:b w:val="0"/>
          <w:bCs/>
          <w:sz w:val="24"/>
          <w:szCs w:val="24"/>
          <w:shd w:val="clear" w:color="auto" w:fill="FFFFFF"/>
        </w:rPr>
      </w:pPr>
      <w:r>
        <w:rPr>
          <w:rStyle w:val="27"/>
          <w:rFonts w:hint="eastAsia" w:ascii="Times New Roman"/>
          <w:b w:val="0"/>
          <w:bCs/>
          <w:sz w:val="24"/>
          <w:szCs w:val="24"/>
          <w:shd w:val="clear" w:color="auto" w:fill="FFFFFF"/>
        </w:rPr>
        <w:t>在现有承包格局下，新建国有草场可通过政府/国企租赁承包草场的方式或者是为实施重大生态工程，如退化草原修复工程等，由政府主导建设国有草场，即，通过项目形式进行国有化建设和管护。</w:t>
      </w:r>
    </w:p>
    <w:p w14:paraId="05FE5670">
      <w:pPr>
        <w:spacing w:line="360" w:lineRule="auto"/>
        <w:ind w:firstLine="480" w:firstLineChars="200"/>
        <w:rPr>
          <w:rStyle w:val="27"/>
          <w:rFonts w:ascii="Times New Roman" w:hAnsi="Times New Roman" w:eastAsia="Malgun Gothic"/>
          <w:b w:val="0"/>
          <w:bCs/>
          <w:sz w:val="24"/>
          <w:szCs w:val="24"/>
          <w:shd w:val="clear" w:color="auto" w:fill="FFFFFF"/>
        </w:rPr>
      </w:pPr>
      <w:r>
        <w:rPr>
          <w:rStyle w:val="27"/>
          <w:rFonts w:hint="eastAsia" w:ascii="Times New Roman" w:hAnsi="Times New Roman"/>
          <w:b w:val="0"/>
          <w:bCs/>
          <w:sz w:val="24"/>
          <w:szCs w:val="24"/>
          <w:shd w:val="clear" w:color="auto" w:fill="FFFFFF"/>
        </w:rPr>
        <w:t>通过探索建设国有草场，创新草原保护修复利用模式，构建“责、权、利”相统一和“建、管、用”相结合的草原生态保护修复和利用长效机制，推进形成草原生态保护修复和利用新格局，有效破解草原生态无计划修复以及成效巩固难的问题，扭转草原超载过牧的局面，全面提升草原生态质量及生产水平，促进草原生态环境治理体系和治理能力现代化，保障草原生态安全，实现人与自然和谐共生。</w:t>
      </w:r>
    </w:p>
    <w:p w14:paraId="0B234DA4">
      <w:pPr>
        <w:pStyle w:val="4"/>
        <w:numPr>
          <w:ilvl w:val="2"/>
          <w:numId w:val="2"/>
        </w:numPr>
        <w:spacing w:before="120" w:after="120" w:line="360" w:lineRule="auto"/>
        <w:rPr>
          <w:rStyle w:val="28"/>
          <w:color w:val="auto"/>
          <w:sz w:val="28"/>
          <w:szCs w:val="28"/>
          <w:u w:val="none"/>
        </w:rPr>
      </w:pPr>
      <w:bookmarkStart w:id="84" w:name="_Toc15342"/>
      <w:r>
        <w:rPr>
          <w:rStyle w:val="28"/>
          <w:rFonts w:hint="eastAsia"/>
          <w:color w:val="auto"/>
          <w:sz w:val="28"/>
          <w:szCs w:val="28"/>
          <w:u w:val="none"/>
        </w:rPr>
        <w:t>草原生态修复工程</w:t>
      </w:r>
      <w:bookmarkEnd w:id="84"/>
    </w:p>
    <w:p w14:paraId="623C0E24">
      <w:pPr>
        <w:pStyle w:val="5"/>
        <w:numPr>
          <w:ilvl w:val="3"/>
          <w:numId w:val="2"/>
        </w:numPr>
        <w:spacing w:before="120" w:after="120" w:line="360" w:lineRule="auto"/>
        <w:ind w:left="862" w:hanging="862"/>
        <w:rPr>
          <w:rFonts w:eastAsia="宋体"/>
        </w:rPr>
      </w:pPr>
      <w:r>
        <w:rPr>
          <w:rFonts w:hint="eastAsia" w:eastAsia="宋体"/>
        </w:rPr>
        <w:t>生态保护红线内草原保护修复</w:t>
      </w:r>
    </w:p>
    <w:p w14:paraId="7157A520">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（一）生态保护红线内草原管理</w:t>
      </w:r>
    </w:p>
    <w:p w14:paraId="73D8ABF8">
      <w:pPr>
        <w:spacing w:line="360" w:lineRule="auto"/>
        <w:ind w:firstLine="480" w:firstLineChars="200"/>
        <w:rPr>
          <w:rStyle w:val="27"/>
          <w:rFonts w:ascii="Times New Roman" w:hAnsi="Times New Roman"/>
          <w:bCs/>
          <w:sz w:val="24"/>
          <w:szCs w:val="24"/>
          <w:shd w:val="clear" w:color="auto" w:fill="FFFFFF"/>
        </w:rPr>
      </w:pPr>
      <w:r>
        <w:rPr>
          <w:rStyle w:val="27"/>
          <w:rFonts w:hint="eastAsia" w:ascii="Times New Roman" w:hAnsi="Times New Roman"/>
          <w:b w:val="0"/>
          <w:bCs/>
          <w:sz w:val="24"/>
          <w:szCs w:val="24"/>
          <w:shd w:val="clear" w:color="auto" w:fill="FFFFFF"/>
        </w:rPr>
        <w:t>各县区、乡镇是严守草原生态保护红线的责任主体，建立目标责任制和创新激励约束机制，明确部门职责分工，加强日常巡护和执法监督，确保生态保护红线面积不减少、性质不改变、功能不降低。生态保护红线内草原，原则上按禁止开发区域进行管理，禁止开垦、采砂、烧荒、新上矿产资源开发项目等不符合主体功能定位的各类开发活动。应建立负面清单管理制度，强化监测监管，以稳定维护区域主导生态功能。</w:t>
      </w:r>
    </w:p>
    <w:p w14:paraId="707C1AD6">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（二）生态保护红线内草原科学利用</w:t>
      </w:r>
    </w:p>
    <w:p w14:paraId="045CC96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在生态保护红线内的草原，要以维护草原生态系统良性循环和确保主要生态功能持续改善为根本，对植被盖度40%以上，群落结构发育良好的草原，应以草原生态环境承载力为约束，创新草原载畜量核算方法和草畜平衡管理制度，科学利用生态保护红线区内的草原资源。在生态保护红线内，草原的科学利用必须在“保护优先、严格管控”的前提下进行，以确保生态系统完整性和功能不降低。</w:t>
      </w:r>
    </w:p>
    <w:p w14:paraId="388D9497">
      <w:pPr>
        <w:spacing w:line="360" w:lineRule="auto"/>
        <w:ind w:firstLine="480" w:firstLineChars="200"/>
        <w:rPr>
          <w:rStyle w:val="27"/>
          <w:rFonts w:ascii="Times New Roman" w:hAnsi="Times New Roman"/>
          <w:b w:val="0"/>
          <w:bCs/>
          <w:sz w:val="24"/>
          <w:szCs w:val="24"/>
          <w:shd w:val="clear" w:color="auto" w:fill="FFFFFF"/>
        </w:rPr>
      </w:pPr>
      <w:r>
        <w:rPr>
          <w:rStyle w:val="29"/>
          <w:rFonts w:hint="eastAsia"/>
          <w:sz w:val="24"/>
          <w:szCs w:val="24"/>
        </w:rPr>
        <w:t>根据草原承载力和退化状况，在轻度退化或恢复良好的区域，</w:t>
      </w:r>
      <w:r>
        <w:rPr>
          <w:rStyle w:val="27"/>
          <w:rFonts w:hint="eastAsia" w:ascii="Times New Roman" w:hAnsi="Times New Roman"/>
          <w:b w:val="0"/>
          <w:bCs/>
          <w:sz w:val="24"/>
          <w:szCs w:val="24"/>
          <w:shd w:val="clear" w:color="auto" w:fill="FFFFFF"/>
        </w:rPr>
        <w:t>通过划区轮牧、季节性休牧、适度刈割等方式，重点推进绿色草牧业发展进程，严禁超载放牧、过度刈割等破坏草原植被行为发生。</w:t>
      </w:r>
    </w:p>
    <w:p w14:paraId="6C71B47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（三）生态保护红线内草原保护修复工程</w:t>
      </w:r>
    </w:p>
    <w:p w14:paraId="5B2F6B4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以乡镇为基本单元，建立生态保护红线内草原台账。优先保护结构相对完整、原真性好的生态系统类型和重要物种栖息地，建立和完善生态廊道，提高草原生态系统完整性和连通性。</w:t>
      </w:r>
    </w:p>
    <w:p w14:paraId="28E68A15">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hAnsi="Times New Roman"/>
          <w:b w:val="0"/>
          <w:bCs/>
          <w:sz w:val="24"/>
          <w:szCs w:val="24"/>
          <w:shd w:val="clear" w:color="auto" w:fill="FFFFFF"/>
        </w:rPr>
        <w:t>建立草原生态系统健康定期体检和分区分类管控制度，全面开展退化草原生态系统修复。对于生态保护红线区内中度以下退化草原，应实施季节性休牧和围封禁牧管理，降低人类活动强度，促进草原植被的自然修复与更新。对生态保护红线区内重度退化草原，需实行长期禁牧封育，严格管控，即，高强度人工干预先行，重建生态基础，逐步恢复生态功能。</w:t>
      </w:r>
    </w:p>
    <w:p w14:paraId="2B59B7E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加强草原生态系统保护与修复。严格执行基本草原保护、禁牧休牧、草畜平衡和草原生态保护监测评估基本制度，严格落实草原生态保护补助奖励政策，提升草原生态系统功能。加大天然草原保护力度，实施退化草原修复工程，加强生态修复后草原管理。开展草原健康诊断工作，加强草原监测体系建设，实现草原智慧化管理。强化草原执法监督，严厉打击非法征占用草原等违法行为。落实最严格的草原生态环境保护制度，在草原生态红线内严禁乱采滥挖、新上矿产资源开发项目，其他草原除经依法依规批准的保障国家能源战略安全项目外，不得新上矿产资源开发项目。在临时占用的草原上不得修建永久性建筑物、构筑物，使用期限不得超过两年，占用期届满后，使用草原的单位应恢复草原植被并及时退还。</w:t>
      </w:r>
    </w:p>
    <w:p w14:paraId="01A60E1A">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根据2024年林草综合监测数据，在生态保护红线内拟推进约80万亩（包括在退化草原生态修复工程中）的退化草原生态修复治理，主要分布在八宿县、丁青县、洛隆县、江达县等。</w:t>
      </w:r>
    </w:p>
    <w:p w14:paraId="1B15424B">
      <w:pPr>
        <w:pStyle w:val="5"/>
        <w:numPr>
          <w:ilvl w:val="3"/>
          <w:numId w:val="2"/>
        </w:numPr>
        <w:spacing w:before="120" w:after="120" w:line="360" w:lineRule="auto"/>
        <w:ind w:left="862" w:hanging="862"/>
        <w:rPr>
          <w:rFonts w:eastAsia="宋体"/>
        </w:rPr>
      </w:pPr>
      <w:r>
        <w:rPr>
          <w:rFonts w:hint="eastAsia" w:eastAsia="宋体"/>
        </w:rPr>
        <w:t>退化草原生态修复工程</w:t>
      </w:r>
    </w:p>
    <w:p w14:paraId="2AD2C65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根据2024年林草综合监测数据，以“统筹规划、分类指导、系统治理、连片推进”为原则，考虑坡度和退化程度，至2035年拟推进500万亩退化草原生态修复治理，</w:t>
      </w:r>
      <w:r>
        <w:rPr>
          <w:rStyle w:val="27"/>
          <w:rFonts w:ascii="Times New Roman" w:hAnsi="Times New Roman" w:eastAsia="宋体" w:cs="Times New Roman"/>
          <w:b w:val="0"/>
          <w:bCs/>
          <w:sz w:val="24"/>
          <w:szCs w:val="24"/>
          <w:shd w:val="clear" w:color="auto" w:fill="FFFFFF"/>
        </w:rPr>
        <w:t>其中，重度退化草原约</w:t>
      </w:r>
      <w:r>
        <w:rPr>
          <w:rStyle w:val="27"/>
          <w:rFonts w:hint="eastAsia" w:ascii="Times New Roman" w:hAnsi="Times New Roman" w:eastAsia="宋体" w:cs="Times New Roman"/>
          <w:b w:val="0"/>
          <w:bCs/>
          <w:sz w:val="24"/>
          <w:szCs w:val="24"/>
          <w:shd w:val="clear" w:color="auto" w:fill="FFFFFF"/>
        </w:rPr>
        <w:t>20</w:t>
      </w:r>
      <w:r>
        <w:rPr>
          <w:rStyle w:val="27"/>
          <w:rFonts w:ascii="Times New Roman" w:hAnsi="Times New Roman" w:eastAsia="宋体" w:cs="Times New Roman"/>
          <w:b w:val="0"/>
          <w:bCs/>
          <w:sz w:val="24"/>
          <w:szCs w:val="24"/>
          <w:shd w:val="clear" w:color="auto" w:fill="FFFFFF"/>
        </w:rPr>
        <w:t>万亩</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中度退化草原约</w:t>
      </w:r>
      <w:r>
        <w:rPr>
          <w:rStyle w:val="27"/>
          <w:rFonts w:hint="eastAsia" w:ascii="Times New Roman" w:hAnsi="Times New Roman" w:eastAsia="宋体" w:cs="Times New Roman"/>
          <w:b w:val="0"/>
          <w:bCs/>
          <w:sz w:val="24"/>
          <w:szCs w:val="24"/>
          <w:shd w:val="clear" w:color="auto" w:fill="FFFFFF"/>
        </w:rPr>
        <w:t>280</w:t>
      </w:r>
      <w:r>
        <w:rPr>
          <w:rStyle w:val="27"/>
          <w:rFonts w:ascii="Times New Roman" w:hAnsi="Times New Roman" w:eastAsia="宋体" w:cs="Times New Roman"/>
          <w:b w:val="0"/>
          <w:bCs/>
          <w:sz w:val="24"/>
          <w:szCs w:val="24"/>
          <w:shd w:val="clear" w:color="auto" w:fill="FFFFFF"/>
        </w:rPr>
        <w:t>万亩、轻度退化草原约</w:t>
      </w:r>
      <w:r>
        <w:rPr>
          <w:rStyle w:val="27"/>
          <w:rFonts w:hint="eastAsia" w:ascii="Times New Roman" w:hAnsi="Times New Roman" w:eastAsia="宋体" w:cs="Times New Roman"/>
          <w:b w:val="0"/>
          <w:bCs/>
          <w:sz w:val="24"/>
          <w:szCs w:val="24"/>
          <w:shd w:val="clear" w:color="auto" w:fill="FFFFFF"/>
        </w:rPr>
        <w:t>200</w:t>
      </w:r>
      <w:r>
        <w:rPr>
          <w:rStyle w:val="27"/>
          <w:rFonts w:ascii="Times New Roman" w:hAnsi="Times New Roman" w:eastAsia="宋体" w:cs="Times New Roman"/>
          <w:b w:val="0"/>
          <w:bCs/>
          <w:sz w:val="24"/>
          <w:szCs w:val="24"/>
          <w:shd w:val="clear" w:color="auto" w:fill="FFFFFF"/>
        </w:rPr>
        <w:t>万亩。</w:t>
      </w:r>
    </w:p>
    <w:p w14:paraId="48BAE815">
      <w:pPr>
        <w:spacing w:line="360" w:lineRule="auto"/>
        <w:jc w:val="left"/>
      </w:pPr>
      <w:r>
        <w:drawing>
          <wp:inline distT="0" distB="0" distL="114300" distR="114300">
            <wp:extent cx="5676900" cy="3818255"/>
            <wp:effectExtent l="0" t="0" r="0" b="1079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1" cstate="print"/>
                    <a:stretch>
                      <a:fillRect/>
                    </a:stretch>
                  </pic:blipFill>
                  <pic:spPr>
                    <a:xfrm>
                      <a:off x="0" y="0"/>
                      <a:ext cx="5676900" cy="3818255"/>
                    </a:xfrm>
                    <a:prstGeom prst="rect">
                      <a:avLst/>
                    </a:prstGeom>
                    <a:noFill/>
                    <a:ln>
                      <a:noFill/>
                    </a:ln>
                  </pic:spPr>
                </pic:pic>
              </a:graphicData>
            </a:graphic>
          </wp:inline>
        </w:drawing>
      </w:r>
    </w:p>
    <w:p w14:paraId="3E2460C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图5-1  退化草原修复重点区域图</w:t>
      </w:r>
    </w:p>
    <w:p w14:paraId="0898711F">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（一）重度退化草原系统综合修复治理</w:t>
      </w:r>
    </w:p>
    <w:p w14:paraId="6A1002B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对植被盖度20%以下、群落结构退化特征很明显、指示物种明显增加及自然修复能力很弱的重度退化草原，应以“长期禁牧封育+立地改良+精准植被重建+系统治理+长效管护”为核心，结合藏东高原高海拔、寒冷干旱、土壤贫瘠、沙化/ 鼠虫害频发等特点，分阶段推进生态系统重构。</w:t>
      </w:r>
    </w:p>
    <w:p w14:paraId="537CACD7">
      <w:pPr>
        <w:spacing w:line="360" w:lineRule="auto"/>
        <w:ind w:firstLine="480" w:firstLineChars="200"/>
        <w:rPr>
          <w:rStyle w:val="27"/>
          <w:rFonts w:ascii="Times New Roman" w:hAnsi="Times New Roman"/>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根据2024年林草综合监测数据，拟推进约20万亩的重度退化草原的生态修复治理，主要分布在八宿县、丁青县、左贡县、芒康县、洛隆县、边坝县等。具体措施如下：</w:t>
      </w:r>
    </w:p>
    <w:p w14:paraId="59E08A3C">
      <w:pPr>
        <w:spacing w:line="360" w:lineRule="auto"/>
        <w:ind w:firstLine="482" w:firstLineChars="200"/>
        <w:rPr>
          <w:rStyle w:val="27"/>
          <w:rFonts w:ascii="Times New Roman" w:hAnsi="Times New Roman"/>
          <w:bCs/>
          <w:sz w:val="24"/>
          <w:szCs w:val="24"/>
          <w:shd w:val="clear" w:color="auto" w:fill="FFFFFF"/>
        </w:rPr>
      </w:pPr>
      <w:r>
        <w:rPr>
          <w:rStyle w:val="27"/>
          <w:rFonts w:ascii="Times New Roman" w:hAnsi="Times New Roman"/>
          <w:bCs/>
          <w:sz w:val="24"/>
          <w:szCs w:val="24"/>
          <w:shd w:val="clear" w:color="auto" w:fill="FFFFFF"/>
        </w:rPr>
        <w:t>（</w:t>
      </w:r>
      <w:r>
        <w:rPr>
          <w:rStyle w:val="27"/>
          <w:rFonts w:hint="eastAsia" w:ascii="Times New Roman" w:hAnsi="Times New Roman"/>
          <w:bCs/>
          <w:sz w:val="24"/>
          <w:szCs w:val="24"/>
          <w:shd w:val="clear" w:color="auto" w:fill="FFFFFF"/>
        </w:rPr>
        <w:t>1）封禁</w:t>
      </w:r>
      <w:r>
        <w:rPr>
          <w:rStyle w:val="27"/>
          <w:rFonts w:ascii="Times New Roman" w:hAnsi="Times New Roman"/>
          <w:bCs/>
          <w:sz w:val="24"/>
          <w:szCs w:val="24"/>
          <w:shd w:val="clear" w:color="auto" w:fill="FFFFFF"/>
        </w:rPr>
        <w:t>管控与减扰工程（</w:t>
      </w:r>
      <w:r>
        <w:rPr>
          <w:rStyle w:val="27"/>
          <w:rFonts w:hint="eastAsia" w:ascii="Times New Roman" w:hAnsi="Times New Roman"/>
          <w:bCs/>
          <w:sz w:val="24"/>
          <w:szCs w:val="24"/>
          <w:shd w:val="clear" w:color="auto" w:fill="FFFFFF"/>
        </w:rPr>
        <w:t>基础保障）</w:t>
      </w:r>
    </w:p>
    <w:p w14:paraId="3E0327C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1）长期禁牧与围栏封育：设置镀锌铁丝网或新型生态围栏，划分核心恢复区，实行5-10年全封禁，严禁放牧、割草、开垦等人为干扰，为生态重建创造稳定环境，配套管护站与巡护制度。</w:t>
      </w:r>
    </w:p>
    <w:p w14:paraId="2A0F426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2）立地改良</w:t>
      </w:r>
    </w:p>
    <w:p w14:paraId="2DD6390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sz w:val="24"/>
          <w:szCs w:val="24"/>
          <w:shd w:val="clear" w:color="auto" w:fill="FFFFFF"/>
        </w:rPr>
        <w:t>①</w:t>
      </w:r>
      <w:r>
        <w:rPr>
          <w:rStyle w:val="27"/>
          <w:rFonts w:ascii="Times New Roman" w:hAnsi="Times New Roman"/>
          <w:b w:val="0"/>
          <w:sz w:val="24"/>
          <w:szCs w:val="24"/>
          <w:shd w:val="clear" w:color="auto" w:fill="FFFFFF"/>
        </w:rPr>
        <w:t>沙化区沙障固沙</w:t>
      </w:r>
      <w:r>
        <w:rPr>
          <w:rStyle w:val="27"/>
          <w:rFonts w:ascii="Times New Roman" w:hAnsi="Times New Roman"/>
          <w:b w:val="0"/>
          <w:bCs/>
          <w:sz w:val="24"/>
          <w:szCs w:val="24"/>
          <w:shd w:val="clear" w:color="auto" w:fill="FFFFFF"/>
        </w:rPr>
        <w:t>：重度沙化区域，采用草方格、石方格、黏土沙障等，设置1m×1m或2m×2m网格，固定流沙；迎风坡可搭配灌木（如锦鸡儿）带状种植，增强固沙效果。</w:t>
      </w:r>
    </w:p>
    <w:p w14:paraId="2661FFA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②</w:t>
      </w:r>
      <w:r>
        <w:rPr>
          <w:rStyle w:val="27"/>
          <w:rFonts w:ascii="Times New Roman" w:hAnsi="Times New Roman"/>
          <w:b w:val="0"/>
          <w:bCs/>
          <w:sz w:val="24"/>
          <w:szCs w:val="24"/>
          <w:shd w:val="clear" w:color="auto" w:fill="FFFFFF"/>
        </w:rPr>
        <w:t>水土流失治理工程：</w:t>
      </w:r>
    </w:p>
    <w:p w14:paraId="3E54F95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微地形改造：在坡地修筑鱼鳞坑、水平沟、集水沟，截留降水、减缓径流，每亩布设30-50个鱼鳞坑，坑径0.5-1m，深0.3-0.5m。</w:t>
      </w:r>
    </w:p>
    <w:p w14:paraId="4936A5F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边坡防护：对陡坡或沟道，采用挡土墙、生态袋护坡等工程，防止滑坡与沟蚀，配套植被恢复。</w:t>
      </w:r>
    </w:p>
    <w:p w14:paraId="1F7CE96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sz w:val="24"/>
          <w:szCs w:val="24"/>
          <w:shd w:val="clear" w:color="auto" w:fill="FFFFFF"/>
        </w:rPr>
        <w:t>③</w:t>
      </w:r>
      <w:r>
        <w:rPr>
          <w:rStyle w:val="27"/>
          <w:rFonts w:ascii="Times New Roman" w:hAnsi="Times New Roman"/>
          <w:b w:val="0"/>
          <w:sz w:val="24"/>
          <w:szCs w:val="24"/>
          <w:shd w:val="clear" w:color="auto" w:fill="FFFFFF"/>
        </w:rPr>
        <w:t>盐碱化改良工程</w:t>
      </w:r>
      <w:r>
        <w:rPr>
          <w:rStyle w:val="27"/>
          <w:rFonts w:ascii="Times New Roman" w:hAnsi="Times New Roman"/>
          <w:b w:val="0"/>
          <w:bCs/>
          <w:sz w:val="24"/>
          <w:szCs w:val="24"/>
          <w:shd w:val="clear" w:color="auto" w:fill="FFFFFF"/>
        </w:rPr>
        <w:t>：排水洗盐（挖明沟/暗管）降低地下水位，结合施用石膏、腐殖酸等改良剂，种植耐盐乡土草种（如碱茅、披碱草），逐步改善土壤pH值。</w:t>
      </w:r>
    </w:p>
    <w:p w14:paraId="51E61BD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3）土壤综合改良（为植被重建打基础）</w:t>
      </w:r>
    </w:p>
    <w:p w14:paraId="214E547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物理改良：深翻松土、破碎板结层，配合微地形改造改善通气与保水能力。</w:t>
      </w:r>
    </w:p>
    <w:p w14:paraId="37510CD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化学与生物改良：施用有机肥、微生物菌剂（固氮菌、丛枝菌根真菌）提升肥力；盐碱地增施脱硫石膏、磷石膏调节pH值，沙化地添加保水剂与秸秆覆盖。</w:t>
      </w:r>
    </w:p>
    <w:p w14:paraId="48CC6D2F">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4）草畜平衡与搬迁减载</w:t>
      </w:r>
    </w:p>
    <w:p w14:paraId="40A50A9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实施禁牧并对区域内牲畜进行异地转移或舍饲，严格控制载畜量，避免二次退化；对工程扰动区（如矿区、道路），先清理废渣，再进行地形平整与植被重建。</w:t>
      </w:r>
    </w:p>
    <w:p w14:paraId="40DC99F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w:t>
      </w:r>
      <w:r>
        <w:rPr>
          <w:rStyle w:val="27"/>
          <w:rFonts w:ascii="Times New Roman" w:hAnsi="Times New Roman"/>
          <w:b w:val="0"/>
          <w:bCs/>
          <w:sz w:val="24"/>
          <w:szCs w:val="24"/>
          <w:shd w:val="clear" w:color="auto" w:fill="FFFFFF"/>
        </w:rPr>
        <w:t>水源保障：</w:t>
      </w:r>
      <w:r>
        <w:rPr>
          <w:rStyle w:val="27"/>
          <w:rFonts w:hint="eastAsia" w:ascii="Times New Roman" w:hAnsi="Times New Roman"/>
          <w:b w:val="0"/>
          <w:bCs/>
          <w:sz w:val="24"/>
          <w:szCs w:val="24"/>
          <w:shd w:val="clear" w:color="auto" w:fill="FFFFFF"/>
        </w:rPr>
        <w:t>干旱区配套集雨设施、滴灌/喷灌系统，坚持以水定绿。</w:t>
      </w:r>
    </w:p>
    <w:p w14:paraId="348196B7">
      <w:pPr>
        <w:spacing w:line="360" w:lineRule="auto"/>
        <w:ind w:firstLine="482" w:firstLineChars="200"/>
        <w:rPr>
          <w:rStyle w:val="27"/>
          <w:rFonts w:ascii="Times New Roman" w:hAnsi="Times New Roman"/>
          <w:bCs/>
          <w:sz w:val="24"/>
          <w:szCs w:val="24"/>
          <w:shd w:val="clear" w:color="auto" w:fill="FFFFFF"/>
        </w:rPr>
      </w:pPr>
      <w:r>
        <w:rPr>
          <w:rStyle w:val="27"/>
          <w:rFonts w:ascii="Times New Roman" w:hAnsi="Times New Roman"/>
          <w:bCs/>
          <w:sz w:val="24"/>
          <w:szCs w:val="24"/>
          <w:shd w:val="clear" w:color="auto" w:fill="FFFFFF"/>
        </w:rPr>
        <w:t>（</w:t>
      </w:r>
      <w:r>
        <w:rPr>
          <w:rStyle w:val="27"/>
          <w:rFonts w:hint="eastAsia" w:ascii="Times New Roman" w:hAnsi="Times New Roman"/>
          <w:bCs/>
          <w:sz w:val="24"/>
          <w:szCs w:val="24"/>
          <w:shd w:val="clear" w:color="auto" w:fill="FFFFFF"/>
        </w:rPr>
        <w:t>2）植被重建（核心修复）</w:t>
      </w:r>
    </w:p>
    <w:p w14:paraId="7385D31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1）乡土草种人工建植</w:t>
      </w:r>
    </w:p>
    <w:p w14:paraId="0FDF162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bCs/>
          <w:sz w:val="24"/>
          <w:szCs w:val="24"/>
          <w:shd w:val="clear" w:color="auto" w:fill="FFFFFF"/>
        </w:rPr>
        <w:t>①</w:t>
      </w:r>
      <w:r>
        <w:rPr>
          <w:rStyle w:val="27"/>
          <w:rFonts w:hint="eastAsia" w:ascii="Times New Roman" w:hAnsi="Times New Roman"/>
          <w:b w:val="0"/>
          <w:bCs/>
          <w:sz w:val="24"/>
          <w:szCs w:val="24"/>
          <w:shd w:val="clear" w:color="auto" w:fill="FFFFFF"/>
        </w:rPr>
        <w:t>草种选择：优先选用老芒麦、垂穗披碱草、中华羊茅、冷地早熟禾等耐寒、耐旱乡土草种，混播提升群落稳定性。</w:t>
      </w:r>
    </w:p>
    <w:p w14:paraId="434EE95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②</w:t>
      </w:r>
      <w:r>
        <w:rPr>
          <w:rStyle w:val="27"/>
          <w:rFonts w:hint="eastAsia" w:ascii="Times New Roman" w:hAnsi="Times New Roman"/>
          <w:b w:val="0"/>
          <w:bCs/>
          <w:sz w:val="24"/>
          <w:szCs w:val="24"/>
          <w:shd w:val="clear" w:color="auto" w:fill="FFFFFF"/>
        </w:rPr>
        <w:t>建植方式：机械整地（深耕20-30cm）后，条播/穴播/飞播，覆土2-3cm，播后镇压；重度裸地区可采用容器苗移栽或喷播植草，提高成活率。</w:t>
      </w:r>
    </w:p>
    <w:p w14:paraId="73A3BD0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③</w:t>
      </w:r>
      <w:r>
        <w:rPr>
          <w:rStyle w:val="27"/>
          <w:rFonts w:hint="eastAsia" w:ascii="Times New Roman" w:hAnsi="Times New Roman"/>
          <w:b w:val="0"/>
          <w:bCs/>
          <w:sz w:val="24"/>
          <w:szCs w:val="24"/>
          <w:shd w:val="clear" w:color="auto" w:fill="FFFFFF"/>
        </w:rPr>
        <w:t>灌溉配套：在水源条件较好区域，采用滴灌、微喷灌等节水灌溉，保障苗期水分需求。</w:t>
      </w:r>
    </w:p>
    <w:p w14:paraId="28DAAFF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2）原生植被保育</w:t>
      </w:r>
    </w:p>
    <w:p w14:paraId="47D9E5BF">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保护残存原生优势种与伴生种，清除毒草（人工拔除为主，慎用化学药剂），促进自然演替与人工群落融合。</w:t>
      </w:r>
    </w:p>
    <w:p w14:paraId="758BDC52">
      <w:pPr>
        <w:spacing w:line="360" w:lineRule="auto"/>
        <w:ind w:firstLine="482" w:firstLineChars="200"/>
        <w:rPr>
          <w:rStyle w:val="27"/>
          <w:rFonts w:ascii="Times New Roman" w:hAnsi="Times New Roman"/>
          <w:bCs/>
          <w:sz w:val="24"/>
          <w:szCs w:val="24"/>
          <w:shd w:val="clear" w:color="auto" w:fill="FFFFFF"/>
        </w:rPr>
      </w:pPr>
      <w:r>
        <w:rPr>
          <w:rStyle w:val="27"/>
          <w:rFonts w:hint="eastAsia" w:ascii="Times New Roman" w:hAnsi="Times New Roman"/>
          <w:bCs/>
          <w:sz w:val="24"/>
          <w:szCs w:val="24"/>
          <w:shd w:val="clear" w:color="auto" w:fill="FFFFFF"/>
        </w:rPr>
        <w:t>（3）有害生物绿色防控（保苗稳群）</w:t>
      </w:r>
    </w:p>
    <w:p w14:paraId="7BCCB496">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sz w:val="24"/>
          <w:szCs w:val="24"/>
          <w:shd w:val="clear" w:color="auto" w:fill="FFFFFF"/>
        </w:rPr>
        <w:t>1）鼠害治理</w:t>
      </w:r>
      <w:r>
        <w:rPr>
          <w:rStyle w:val="27"/>
          <w:rFonts w:ascii="Times New Roman" w:hAnsi="Times New Roman" w:cs="Times New Roman"/>
          <w:b w:val="0"/>
          <w:bCs/>
          <w:sz w:val="24"/>
          <w:szCs w:val="24"/>
          <w:shd w:val="clear" w:color="auto" w:fill="FFFFFF"/>
        </w:rPr>
        <w:t xml:space="preserve">：推广招鹰架、鹰巢等招鹰控鼠措施，结合生物药剂（如苦参碱）、人工捕杀，降低鼠密度，保护植被幼苗国家林业和草原局。 </w:t>
      </w:r>
    </w:p>
    <w:p w14:paraId="609AE4E7">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sz w:val="24"/>
          <w:szCs w:val="24"/>
          <w:shd w:val="clear" w:color="auto" w:fill="FFFFFF"/>
        </w:rPr>
        <w:t>2）虫害防治</w:t>
      </w:r>
      <w:r>
        <w:rPr>
          <w:rStyle w:val="27"/>
          <w:rFonts w:ascii="Times New Roman" w:hAnsi="Times New Roman" w:cs="Times New Roman"/>
          <w:b w:val="0"/>
          <w:bCs/>
          <w:sz w:val="24"/>
          <w:szCs w:val="24"/>
          <w:shd w:val="clear" w:color="auto" w:fill="FFFFFF"/>
        </w:rPr>
        <w:t>：释放天敌（如赤眼蜂）、使用植物源农药，搭配灯光诱杀，避免化学药剂污染高寒生态环境。</w:t>
      </w:r>
    </w:p>
    <w:p w14:paraId="7F1133E2">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sz w:val="24"/>
          <w:szCs w:val="24"/>
          <w:shd w:val="clear" w:color="auto" w:fill="FFFFFF"/>
        </w:rPr>
        <w:t>3）毒草治理</w:t>
      </w:r>
      <w:r>
        <w:rPr>
          <w:rStyle w:val="27"/>
          <w:rFonts w:ascii="Times New Roman" w:hAnsi="Times New Roman" w:cs="Times New Roman"/>
          <w:b w:val="0"/>
          <w:bCs/>
          <w:sz w:val="24"/>
          <w:szCs w:val="24"/>
          <w:shd w:val="clear" w:color="auto" w:fill="FFFFFF"/>
        </w:rPr>
        <w:t>：人工刈割+深埋，或种植竞争性乡土草种抑制毒草生长，防止扩散。</w:t>
      </w:r>
    </w:p>
    <w:p w14:paraId="0E5C3EC2">
      <w:pPr>
        <w:spacing w:line="360" w:lineRule="auto"/>
        <w:ind w:firstLine="482" w:firstLineChars="200"/>
        <w:rPr>
          <w:rStyle w:val="27"/>
          <w:rFonts w:ascii="Times New Roman" w:hAnsi="Times New Roman"/>
          <w:bCs/>
          <w:sz w:val="24"/>
          <w:szCs w:val="24"/>
          <w:shd w:val="clear" w:color="auto" w:fill="FFFFFF"/>
        </w:rPr>
      </w:pPr>
      <w:r>
        <w:rPr>
          <w:rStyle w:val="27"/>
          <w:rFonts w:ascii="Times New Roman" w:hAnsi="Times New Roman"/>
          <w:bCs/>
          <w:sz w:val="24"/>
          <w:szCs w:val="24"/>
          <w:shd w:val="clear" w:color="auto" w:fill="FFFFFF"/>
        </w:rPr>
        <w:t>（</w:t>
      </w:r>
      <w:r>
        <w:rPr>
          <w:rStyle w:val="27"/>
          <w:rFonts w:hint="eastAsia" w:ascii="Times New Roman" w:hAnsi="Times New Roman"/>
          <w:bCs/>
          <w:sz w:val="24"/>
          <w:szCs w:val="24"/>
          <w:shd w:val="clear" w:color="auto" w:fill="FFFFFF"/>
        </w:rPr>
        <w:t>4）系统修复与长效管护（成效巩固）</w:t>
      </w:r>
    </w:p>
    <w:p w14:paraId="79058CB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1）生态协同治理：融入山水林田湖草沙一体化工程，治理周边水土流失，构建生态廊道，连通栖息地。</w:t>
      </w:r>
    </w:p>
    <w:p w14:paraId="684654F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2）动态监测评估：采用遥感、无人机、地面样方调查，监测植被盖度、生物量、土壤理化性质、鼠虫密度等，建立“空天地人”监测体系，及时优化调整修复措施。</w:t>
      </w:r>
    </w:p>
    <w:p w14:paraId="485AE9E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3）分阶段管护：</w:t>
      </w:r>
    </w:p>
    <w:p w14:paraId="3927F27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heme="minorEastAsia" w:hAnsiTheme="minorEastAsia"/>
          <w:b w:val="0"/>
          <w:bCs/>
          <w:sz w:val="24"/>
          <w:szCs w:val="24"/>
          <w:shd w:val="clear" w:color="auto" w:fill="FFFFFF"/>
        </w:rPr>
        <w:t>①</w:t>
      </w:r>
      <w:r>
        <w:rPr>
          <w:rStyle w:val="27"/>
          <w:rFonts w:hint="eastAsia" w:ascii="Times New Roman" w:hAnsi="Times New Roman"/>
          <w:b w:val="0"/>
          <w:bCs/>
          <w:sz w:val="24"/>
          <w:szCs w:val="24"/>
          <w:shd w:val="clear" w:color="auto" w:fill="FFFFFF"/>
        </w:rPr>
        <w:t>苗期（1-2年）：定期补苗、灌溉、除草，保障幼苗存活。</w:t>
      </w:r>
    </w:p>
    <w:p w14:paraId="59953DF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宋体" w:hAnsi="宋体" w:eastAsia="宋体"/>
          <w:b w:val="0"/>
          <w:bCs/>
          <w:sz w:val="24"/>
          <w:szCs w:val="24"/>
          <w:shd w:val="clear" w:color="auto" w:fill="FFFFFF"/>
        </w:rPr>
        <w:t>②</w:t>
      </w:r>
      <w:r>
        <w:rPr>
          <w:rStyle w:val="27"/>
          <w:rFonts w:hint="eastAsia" w:ascii="Times New Roman" w:hAnsi="Times New Roman"/>
          <w:b w:val="0"/>
          <w:bCs/>
          <w:sz w:val="24"/>
          <w:szCs w:val="24"/>
          <w:shd w:val="clear" w:color="auto" w:fill="FFFFFF"/>
        </w:rPr>
        <w:t>成长期（3-5年）：逐步过渡到季节性封育，开展生态监测与评估。</w:t>
      </w:r>
    </w:p>
    <w:p w14:paraId="5678092F">
      <w:pPr>
        <w:spacing w:line="360" w:lineRule="auto"/>
        <w:ind w:firstLine="480" w:firstLineChars="200"/>
        <w:rPr>
          <w:rStyle w:val="27"/>
          <w:rFonts w:ascii="Times New Roman" w:hAnsi="Times New Roman"/>
          <w:b w:val="0"/>
          <w:bCs/>
          <w:color w:val="1901FB"/>
          <w:sz w:val="24"/>
          <w:szCs w:val="24"/>
          <w:shd w:val="clear" w:color="auto" w:fill="FFFFFF"/>
        </w:rPr>
      </w:pPr>
      <w:r>
        <w:rPr>
          <w:rStyle w:val="27"/>
          <w:rFonts w:hint="eastAsia" w:asciiTheme="minorEastAsia" w:hAnsiTheme="minorEastAsia"/>
          <w:b w:val="0"/>
          <w:bCs/>
          <w:color w:val="1901FB"/>
          <w:sz w:val="24"/>
          <w:szCs w:val="24"/>
          <w:shd w:val="clear" w:color="auto" w:fill="FFFFFF"/>
        </w:rPr>
        <w:t>③</w:t>
      </w:r>
      <w:r>
        <w:rPr>
          <w:rStyle w:val="27"/>
          <w:rFonts w:hint="eastAsia" w:ascii="Times New Roman" w:hAnsi="Times New Roman"/>
          <w:b w:val="0"/>
          <w:bCs/>
          <w:color w:val="1901FB"/>
          <w:sz w:val="24"/>
          <w:szCs w:val="24"/>
          <w:shd w:val="clear" w:color="auto" w:fill="FFFFFF"/>
        </w:rPr>
        <w:t>稳定期（10年后）：适当开展生态旅游、科学试验等，实现生态与经济双赢。</w:t>
      </w:r>
    </w:p>
    <w:p w14:paraId="55896F6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4）社区参与机制：采用以工代赈，吸纳当地牧民参与管护与监测，建立生态补偿机制，提升管护效率与持续性。</w:t>
      </w:r>
    </w:p>
    <w:p w14:paraId="5449D92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长效管护：落实3年以上管护期，明确管护责任，纳入林长考核，避免二次退化。设置生态管护岗位，带动原住民参与巡护与修复，实现生态与民生双赢。推进草原碳汇核算，探索碳汇交易，拓宽生态价值实现路径。</w:t>
      </w:r>
    </w:p>
    <w:p w14:paraId="28C804BE">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（二）中度退化草原抚育修复</w:t>
      </w:r>
    </w:p>
    <w:p w14:paraId="05AF139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对植被盖度21-30%以下、群落结构退化特征明显、指示物种显著增加及自然修复能力相对较弱的中度退化草原，应全面退牧还草、封禁恢复，并因地制宜采取雨季适当施肥、免耕补播乡土草种等方式，抚育改良退化草地，加速植被恢复进程。一般，中度退化草原封禁恢复时间以2-3年为宜。</w:t>
      </w:r>
    </w:p>
    <w:p w14:paraId="0B3FC01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根据2024年林草综合监测数据，拟推进约280万亩的中度退化草原的生态修复治理，主要分布在八宿县、丁青县、左贡县、察雅县、贡觉县、洛隆县等。具体措施如下：</w:t>
      </w:r>
    </w:p>
    <w:p w14:paraId="61FBBF7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（1）围栏封育与放牧管控工程</w:t>
      </w:r>
    </w:p>
    <w:p w14:paraId="73AC7ED4">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标准化围栏建设：采用网围栏或刺铁丝围栏划分禁牧区、草畜平衡区，配套界桩、警示标识，明确管护责任，围封期限一般3-4年，为植被恢复创造无干扰环境。结合昌都地形，优先在坡度较缓、集中连片区域布置，便于巡护与管理。</w:t>
      </w:r>
    </w:p>
    <w:p w14:paraId="7EF05AF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2）休牧轮牧配套：在围栏内划分轮牧区，实行春季休牧（45-60天）+划区轮牧，搭配生态护草员巡护，严控超载过牧，避免修复成果流失。</w:t>
      </w:r>
    </w:p>
    <w:p w14:paraId="1599B17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（2）精准补播与植被改良工程</w:t>
      </w:r>
    </w:p>
    <w:p w14:paraId="71B46DE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1）免耕补播：采用免耕播种机，在保留原生植被的前提下，补播披碱草、早熟禾、老芒麦等乡土草种，混播比例适配昌都气候，播种深度2-3cm，减少土壤扰动。</w:t>
      </w:r>
    </w:p>
    <w:p w14:paraId="397A390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2）切根松土：对土壤板结区域，用机械切根或松耙，深度5-10cm，打破根系盘结，提升土壤透气性与水分入渗能力。</w:t>
      </w:r>
    </w:p>
    <w:p w14:paraId="5C27FD1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3）乡土草种优化：优先选用抗寒、耐旱、耐贫瘠的本地草种，避免外来物种入侵，保障生态系统稳定性。</w:t>
      </w:r>
    </w:p>
    <w:p w14:paraId="7CD41AD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（3）土壤肥力与结构提升工程</w:t>
      </w:r>
    </w:p>
    <w:p w14:paraId="64A8531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1）有机肥施用：以羊粪、牦牛粪等腐熟有机肥为主，每亩施200-300kg，搭配微生物菌剂，改善土壤结构与肥力，避免化学肥料对高原生态的影响。</w:t>
      </w:r>
    </w:p>
    <w:p w14:paraId="0EC3BBE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2）微地形整理：对水土流失区域，修筑鱼鳞坑、等高条带，拦截径流，减少土壤侵蚀，提升保水能力</w:t>
      </w:r>
    </w:p>
    <w:p w14:paraId="49581182">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（4）鼠虫害绿色防控工程</w:t>
      </w:r>
    </w:p>
    <w:p w14:paraId="032FA2C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1）物理防控：布设灭鼠围栏、弓箭、粘鼠板等，结合人工捕杀，降低高原鼠兔、鼢鼠密度，避免化学药剂污染草场与水源。</w:t>
      </w:r>
    </w:p>
    <w:p w14:paraId="0318966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2）生物防控：利用天敌（如鹰隼）、生物毒素（如C型肉毒梭菌）等，构建生态平衡，长期控制鼠虫种群数量。</w:t>
      </w:r>
    </w:p>
    <w:p w14:paraId="7A51232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毒草治理：对狼毒、酸模等毒害草，采用人工拔除、机械割除，配合补播优良草种，抑制毒草扩散。此外，可将毒草资源化利用为纸浆原料，核心以瑞香狼毒为主、醉马草、棘豆等为辅，通过“治理+资源化”形成生态与经济双赢的闭环。</w:t>
      </w:r>
    </w:p>
    <w:p w14:paraId="09AB52A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（5）生态水文协同调控工程</w:t>
      </w:r>
    </w:p>
    <w:p w14:paraId="067EECA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w:t>
      </w:r>
      <w:r>
        <w:rPr>
          <w:rStyle w:val="27"/>
          <w:rFonts w:ascii="Times New Roman" w:hAnsi="Times New Roman"/>
          <w:b w:val="0"/>
          <w:bCs/>
          <w:sz w:val="24"/>
          <w:szCs w:val="24"/>
          <w:shd w:val="clear" w:color="auto" w:fill="FFFFFF"/>
        </w:rPr>
        <w:t>水源涵养配套：在沟谷区域修建小型集水坑、生态沟道，蓄积雨水，缓解干旱期草场缺水问题。</w:t>
      </w:r>
    </w:p>
    <w:p w14:paraId="452C1F3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w:t>
      </w:r>
      <w:r>
        <w:rPr>
          <w:rStyle w:val="27"/>
          <w:rFonts w:ascii="Times New Roman" w:hAnsi="Times New Roman"/>
          <w:b w:val="0"/>
          <w:bCs/>
          <w:sz w:val="24"/>
          <w:szCs w:val="24"/>
          <w:shd w:val="clear" w:color="auto" w:fill="FFFFFF"/>
        </w:rPr>
        <w:t>水土保持措施：对坡度＞25°的退化草场，配套生态护坡、石笼导流槽，减少水土流失，保护草地根系层。</w:t>
      </w:r>
    </w:p>
    <w:p w14:paraId="35595C3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（6）人工辅助与近自然修复工程</w:t>
      </w:r>
    </w:p>
    <w:p w14:paraId="08BD462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w:t>
      </w:r>
      <w:r>
        <w:rPr>
          <w:rStyle w:val="27"/>
          <w:rFonts w:ascii="Times New Roman" w:hAnsi="Times New Roman"/>
          <w:b w:val="0"/>
          <w:bCs/>
          <w:sz w:val="24"/>
          <w:szCs w:val="24"/>
          <w:shd w:val="clear" w:color="auto" w:fill="FFFFFF"/>
        </w:rPr>
        <w:t>人工草地补建：在退化草原非核心区，适度建设多年生人工饲草基地，选用紫花苜蓿、燕麦草等，为草畜平衡提供饲草支撑，缓解天然草场压力。</w:t>
      </w:r>
    </w:p>
    <w:p w14:paraId="0050BA4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w:t>
      </w:r>
      <w:r>
        <w:rPr>
          <w:rStyle w:val="27"/>
          <w:rFonts w:ascii="Times New Roman" w:hAnsi="Times New Roman"/>
          <w:b w:val="0"/>
          <w:bCs/>
          <w:sz w:val="24"/>
          <w:szCs w:val="24"/>
          <w:shd w:val="clear" w:color="auto" w:fill="FFFFFF"/>
        </w:rPr>
        <w:t>封育补植：对植被盖度较低区域，结合封育进行人工点播，促进植被快速郁闭，缩短修复周期。</w:t>
      </w:r>
    </w:p>
    <w:p w14:paraId="7363E385">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（三）轻度退化草原近自然恢复</w:t>
      </w:r>
    </w:p>
    <w:p w14:paraId="1B28E8DB">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针对主体草原区内植被盖度31%-40%、群落结构相对完整，指示物种明显增加，但退化程度相对较轻，自我修复能力较强的草原，应重点实施季节性休牧、围封禁牧措施，发挥草原植物群落的自然更新演替潜力，促进退化草原自然恢复，并辅以适当的人工干预。</w:t>
      </w:r>
    </w:p>
    <w:p w14:paraId="5FB0C5C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根据2024年林草综合监测数据，拟推进约200万亩的轻度退化草原的生态修复治理，主要分布在丁青县、八宿县、江达县、左贡县、芒康县等。具体修复可采取如下措施。</w:t>
      </w:r>
    </w:p>
    <w:p w14:paraId="16E9D065">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（1）管制与减扰措施</w:t>
      </w:r>
    </w:p>
    <w:p w14:paraId="306F522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1）精准围栏封育：设置生态围栏划分恢复区，实行季节性封育（如返青期4-6月全封），明确禁入时段与范围，防止人畜破坏，为草原自我修复创造条件。</w:t>
      </w:r>
    </w:p>
    <w:p w14:paraId="08C437D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2）科学休牧轮牧：落实草畜平衡制度，划定轮牧单元，推行返青季休牧（不少于45天），按草场承载力确定载畜量，避免过度放牧，维持群落结构稳定。</w:t>
      </w:r>
    </w:p>
    <w:p w14:paraId="5F7F2F11">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3）严控工程扰动：避开生态敏感区开展工程建设，确需施工的，采用低影响作业方式，施工后及时恢复地表植被，减少对原生草原的破坏。</w:t>
      </w:r>
    </w:p>
    <w:p w14:paraId="2843BED0">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（2）植被与土壤微干预措施</w:t>
      </w:r>
    </w:p>
    <w:p w14:paraId="365A7C13">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1）乡土草种补播：优先选用老芒麦、披碱草、中华羊茅等乡土草种，采用条播、穴播等方式补播，覆土2-3cm，播后轻耙镇压，适配轻度植被盖度不足区域，促进群落恢复。</w:t>
      </w:r>
    </w:p>
    <w:p w14:paraId="02A396BA">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2）微地形与土壤改良：对局部水土流失区域，采用鱼鳞坑、集水沟等微地形改造，截留降水；浅耕松土改善土壤通气性，少量施用有机肥或微生物菌剂，提升土壤肥力，不进行大规模翻耕。</w:t>
      </w:r>
    </w:p>
    <w:p w14:paraId="6F15FC69">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3）原生植被保育：保护草原原生优势种与伴生种，清除少量毒草，避免化学药剂滥用，维持群落自然演替进程。</w:t>
      </w:r>
    </w:p>
    <w:p w14:paraId="317E107E">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（3）有害生物绿色防控</w:t>
      </w:r>
    </w:p>
    <w:p w14:paraId="3B00A0E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1）鼠虫害综合防治：推广招鹰控鼠、生物药剂等绿色防控技术，结合人工捕杀，降低鼠虫密度，减少对草原植被的破坏。</w:t>
      </w:r>
    </w:p>
    <w:p w14:paraId="1F7825A7">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2）毒草治理：对轻度毒草蔓延区域，采用人工拔除、刈割等方式，防止毒草扩散，保护优良牧草生长。</w:t>
      </w:r>
    </w:p>
    <w:p w14:paraId="30CF1112">
      <w:pPr>
        <w:pStyle w:val="5"/>
        <w:numPr>
          <w:ilvl w:val="3"/>
          <w:numId w:val="2"/>
        </w:numPr>
        <w:spacing w:before="120" w:after="120" w:line="360" w:lineRule="auto"/>
        <w:ind w:left="862" w:hanging="862"/>
        <w:rPr>
          <w:rFonts w:eastAsia="宋体"/>
        </w:rPr>
      </w:pPr>
      <w:r>
        <w:rPr>
          <w:rFonts w:hint="eastAsia" w:eastAsia="宋体"/>
        </w:rPr>
        <w:t>沙化型退化草原生态修复工程</w:t>
      </w:r>
    </w:p>
    <w:p w14:paraId="415CF371">
      <w:pPr>
        <w:spacing w:line="360" w:lineRule="auto"/>
        <w:ind w:firstLine="480" w:firstLineChars="200"/>
        <w:rPr>
          <w:rStyle w:val="27"/>
          <w:rFonts w:ascii="Times New Roman" w:cs="Times New Roman"/>
          <w:b w:val="0"/>
          <w:bCs/>
          <w:sz w:val="24"/>
          <w:szCs w:val="24"/>
          <w:shd w:val="clear" w:color="auto" w:fill="FFFFFF"/>
        </w:rPr>
      </w:pPr>
      <w:r>
        <w:rPr>
          <w:rStyle w:val="27"/>
          <w:rFonts w:ascii="Times New Roman" w:cs="Times New Roman"/>
          <w:b w:val="0"/>
          <w:bCs/>
          <w:sz w:val="24"/>
          <w:szCs w:val="24"/>
          <w:shd w:val="clear" w:color="auto" w:fill="FFFFFF"/>
        </w:rPr>
        <w:t>本报告中的草原资源现状的调查分析结果显示，八宿县地处怒江河谷区，年蒸发量最高，为</w:t>
      </w:r>
      <w:r>
        <w:rPr>
          <w:rStyle w:val="27"/>
          <w:rFonts w:ascii="Times New Roman" w:hAnsi="Times New Roman" w:cs="Times New Roman"/>
          <w:b w:val="0"/>
          <w:bCs/>
          <w:sz w:val="24"/>
          <w:szCs w:val="24"/>
          <w:shd w:val="clear" w:color="auto" w:fill="FFFFFF"/>
        </w:rPr>
        <w:t>2617.2</w:t>
      </w:r>
      <w:r>
        <w:rPr>
          <w:rStyle w:val="27"/>
          <w:rFonts w:ascii="Times New Roman" w:cs="Times New Roman"/>
          <w:b w:val="0"/>
          <w:bCs/>
          <w:sz w:val="24"/>
          <w:szCs w:val="24"/>
          <w:shd w:val="clear" w:color="auto" w:fill="FFFFFF"/>
        </w:rPr>
        <w:t>毫米，是年降水量的</w:t>
      </w:r>
      <w:r>
        <w:rPr>
          <w:rStyle w:val="27"/>
          <w:rFonts w:ascii="Times New Roman" w:hAnsi="Times New Roman" w:cs="Times New Roman"/>
          <w:b w:val="0"/>
          <w:bCs/>
          <w:sz w:val="24"/>
          <w:szCs w:val="24"/>
          <w:shd w:val="clear" w:color="auto" w:fill="FFFFFF"/>
        </w:rPr>
        <w:t>10</w:t>
      </w:r>
      <w:r>
        <w:rPr>
          <w:rStyle w:val="27"/>
          <w:rFonts w:ascii="Times New Roman" w:cs="Times New Roman"/>
          <w:b w:val="0"/>
          <w:bCs/>
          <w:sz w:val="24"/>
          <w:szCs w:val="24"/>
          <w:shd w:val="clear" w:color="auto" w:fill="FFFFFF"/>
        </w:rPr>
        <w:t>倍以上。八宿县的草原植被综合盖度最低，为</w:t>
      </w:r>
      <w:r>
        <w:rPr>
          <w:rStyle w:val="27"/>
          <w:rFonts w:ascii="Times New Roman" w:hAnsi="Times New Roman" w:cs="Times New Roman"/>
          <w:b w:val="0"/>
          <w:bCs/>
          <w:sz w:val="24"/>
          <w:szCs w:val="24"/>
          <w:shd w:val="clear" w:color="auto" w:fill="FFFFFF"/>
        </w:rPr>
        <w:t>52.92%</w:t>
      </w:r>
      <w:r>
        <w:rPr>
          <w:rStyle w:val="27"/>
          <w:rFonts w:ascii="Times New Roman" w:cs="Times New Roman"/>
          <w:b w:val="0"/>
          <w:bCs/>
          <w:sz w:val="24"/>
          <w:szCs w:val="24"/>
          <w:shd w:val="clear" w:color="auto" w:fill="FFFFFF"/>
        </w:rPr>
        <w:t>（</w:t>
      </w:r>
      <w:r>
        <w:rPr>
          <w:rStyle w:val="27"/>
          <w:rFonts w:ascii="Times New Roman" w:hAnsi="Times New Roman" w:cs="Times New Roman"/>
          <w:b w:val="0"/>
          <w:bCs/>
          <w:sz w:val="24"/>
          <w:szCs w:val="24"/>
          <w:shd w:val="clear" w:color="auto" w:fill="FFFFFF"/>
        </w:rPr>
        <w:t>2023</w:t>
      </w:r>
      <w:r>
        <w:rPr>
          <w:rStyle w:val="27"/>
          <w:rFonts w:ascii="Times New Roman" w:cs="Times New Roman"/>
          <w:b w:val="0"/>
          <w:bCs/>
          <w:sz w:val="24"/>
          <w:szCs w:val="24"/>
          <w:shd w:val="clear" w:color="auto" w:fill="FFFFFF"/>
        </w:rPr>
        <w:t>年）。草原退化等级以</w:t>
      </w:r>
      <w:r>
        <w:rPr>
          <w:rStyle w:val="27"/>
          <w:rFonts w:ascii="Times New Roman" w:hAnsi="Times New Roman" w:cs="Times New Roman"/>
          <w:b w:val="0"/>
          <w:bCs/>
          <w:sz w:val="24"/>
          <w:szCs w:val="24"/>
          <w:shd w:val="clear" w:color="auto" w:fill="FFFFFF"/>
        </w:rPr>
        <w:t>Ⅲ</w:t>
      </w:r>
      <w:r>
        <w:rPr>
          <w:rStyle w:val="27"/>
          <w:rFonts w:ascii="Times New Roman" w:cs="Times New Roman"/>
          <w:b w:val="0"/>
          <w:bCs/>
          <w:sz w:val="24"/>
          <w:szCs w:val="24"/>
          <w:shd w:val="clear" w:color="auto" w:fill="FFFFFF"/>
        </w:rPr>
        <w:t>级（中度退化）、</w:t>
      </w:r>
      <w:r>
        <w:rPr>
          <w:rStyle w:val="27"/>
          <w:rFonts w:ascii="Times New Roman" w:hAnsi="Times New Roman" w:cs="Times New Roman"/>
          <w:b w:val="0"/>
          <w:bCs/>
          <w:sz w:val="24"/>
          <w:szCs w:val="24"/>
          <w:shd w:val="clear" w:color="auto" w:fill="FFFFFF"/>
        </w:rPr>
        <w:t>Ⅳ</w:t>
      </w:r>
      <w:r>
        <w:rPr>
          <w:rStyle w:val="27"/>
          <w:rFonts w:ascii="Times New Roman" w:cs="Times New Roman"/>
          <w:b w:val="0"/>
          <w:bCs/>
          <w:sz w:val="24"/>
          <w:szCs w:val="24"/>
          <w:shd w:val="clear" w:color="auto" w:fill="FFFFFF"/>
        </w:rPr>
        <w:t>级（重度退化）为主，占比分别为</w:t>
      </w:r>
      <w:r>
        <w:rPr>
          <w:rStyle w:val="27"/>
          <w:rFonts w:ascii="Times New Roman" w:hAnsi="Times New Roman" w:cs="Times New Roman"/>
          <w:b w:val="0"/>
          <w:bCs/>
          <w:sz w:val="24"/>
          <w:szCs w:val="24"/>
          <w:shd w:val="clear" w:color="auto" w:fill="FFFFFF"/>
        </w:rPr>
        <w:t>22.70%</w:t>
      </w:r>
      <w:r>
        <w:rPr>
          <w:rStyle w:val="27"/>
          <w:rFonts w:ascii="Times New Roman" w:cs="Times New Roman"/>
          <w:b w:val="0"/>
          <w:bCs/>
          <w:sz w:val="24"/>
          <w:szCs w:val="24"/>
          <w:shd w:val="clear" w:color="auto" w:fill="FFFFFF"/>
        </w:rPr>
        <w:t>和</w:t>
      </w:r>
      <w:r>
        <w:rPr>
          <w:rStyle w:val="27"/>
          <w:rFonts w:ascii="Times New Roman" w:hAnsi="Times New Roman" w:cs="Times New Roman"/>
          <w:b w:val="0"/>
          <w:bCs/>
          <w:sz w:val="24"/>
          <w:szCs w:val="24"/>
          <w:shd w:val="clear" w:color="auto" w:fill="FFFFFF"/>
        </w:rPr>
        <w:t>40.82%</w:t>
      </w:r>
      <w:r>
        <w:rPr>
          <w:rStyle w:val="27"/>
          <w:rFonts w:ascii="Times New Roman" w:cs="Times New Roman"/>
          <w:b w:val="0"/>
          <w:bCs/>
          <w:sz w:val="24"/>
          <w:szCs w:val="24"/>
          <w:shd w:val="clear" w:color="auto" w:fill="FFFFFF"/>
        </w:rPr>
        <w:t>；退化类型主要是其他型退化（388056.68公顷）、毒害草型退化（5672.94公顷）、沙化型退化（1769.24公顷），</w:t>
      </w:r>
      <w:r>
        <w:rPr>
          <w:rStyle w:val="27"/>
          <w:rFonts w:hint="eastAsia" w:ascii="Times New Roman" w:cs="Times New Roman"/>
          <w:b w:val="0"/>
          <w:bCs/>
          <w:sz w:val="24"/>
          <w:szCs w:val="24"/>
          <w:shd w:val="clear" w:color="auto" w:fill="FFFFFF"/>
        </w:rPr>
        <w:t>其中</w:t>
      </w:r>
      <w:r>
        <w:rPr>
          <w:rStyle w:val="27"/>
          <w:rFonts w:ascii="Times New Roman" w:cs="Times New Roman"/>
          <w:b w:val="0"/>
          <w:bCs/>
          <w:sz w:val="24"/>
          <w:szCs w:val="24"/>
          <w:shd w:val="clear" w:color="auto" w:fill="FFFFFF"/>
        </w:rPr>
        <w:t>，沙化型退化草原面积占全市沙化型退化草原面积的</w:t>
      </w:r>
      <w:r>
        <w:rPr>
          <w:rStyle w:val="27"/>
          <w:rFonts w:ascii="Times New Roman" w:hAnsi="Times New Roman" w:cs="Times New Roman"/>
          <w:b w:val="0"/>
          <w:bCs/>
          <w:sz w:val="24"/>
          <w:szCs w:val="24"/>
          <w:shd w:val="clear" w:color="auto" w:fill="FFFFFF"/>
        </w:rPr>
        <w:t>98.12%</w:t>
      </w:r>
      <w:r>
        <w:rPr>
          <w:rStyle w:val="27"/>
          <w:rFonts w:ascii="Times New Roman" w:cs="Times New Roman"/>
          <w:b w:val="0"/>
          <w:bCs/>
          <w:sz w:val="24"/>
          <w:szCs w:val="24"/>
          <w:shd w:val="clear" w:color="auto" w:fill="FFFFFF"/>
        </w:rPr>
        <w:t>。沙化型草原集中分布在邦达草原等区域。</w:t>
      </w:r>
    </w:p>
    <w:p w14:paraId="36EF6D1F">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结合八宿县高海拔、寒冷干旱、生态脆弱且沙化草地面积较大的特点，草地沙化修复需遵循“先易后难、分类施策、生态优先、兼顾民生”的原则，采用工程措施+生物措施+管理措施”相结合的综合修复模式。</w:t>
      </w:r>
    </w:p>
    <w:p w14:paraId="6D965C59">
      <w:pPr>
        <w:spacing w:line="360" w:lineRule="auto"/>
        <w:ind w:firstLine="482"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bCs/>
          <w:sz w:val="24"/>
          <w:szCs w:val="24"/>
          <w:shd w:val="clear" w:color="auto" w:fill="FFFFFF"/>
        </w:rPr>
        <w:t>根据2024年林草综合监测数据，拟推进约1.7万亩的沙化型退化草原的生态修复治理（包括在退化草原生态修复工程中），主要分布在八宿县的邦达镇。</w:t>
      </w:r>
    </w:p>
    <w:p w14:paraId="2478D610">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（一）优先实施的工程措施（快速遏制沙化扩张）</w:t>
      </w:r>
    </w:p>
    <w:p w14:paraId="0D4069E4">
      <w:pPr>
        <w:spacing w:line="360" w:lineRule="auto"/>
        <w:ind w:firstLine="482" w:firstLineChars="200"/>
        <w:rPr>
          <w:rStyle w:val="27"/>
          <w:rFonts w:ascii="Times New Roman" w:hAnsi="Times New Roman" w:cs="Times New Roman"/>
          <w:bCs/>
          <w:sz w:val="24"/>
          <w:szCs w:val="24"/>
          <w:shd w:val="clear" w:color="auto" w:fill="FFFFFF"/>
        </w:rPr>
      </w:pPr>
      <w:r>
        <w:rPr>
          <w:rStyle w:val="27"/>
          <w:rFonts w:ascii="Times New Roman" w:hAnsi="Times New Roman" w:cs="Times New Roman"/>
          <w:bCs/>
          <w:sz w:val="24"/>
          <w:szCs w:val="24"/>
          <w:shd w:val="clear" w:color="auto" w:fill="FFFFFF"/>
        </w:rPr>
        <w:t>1、</w:t>
      </w:r>
      <w:r>
        <w:rPr>
          <w:rStyle w:val="27"/>
          <w:rFonts w:hint="eastAsia" w:ascii="Times New Roman" w:hAnsi="Times New Roman" w:cs="Times New Roman"/>
          <w:bCs/>
          <w:sz w:val="24"/>
          <w:szCs w:val="24"/>
          <w:shd w:val="clear" w:color="auto" w:fill="FFFFFF"/>
        </w:rPr>
        <w:t>沙源固定工程</w:t>
      </w:r>
    </w:p>
    <w:p w14:paraId="2A458F2D">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适用场景：流动、半流动沙地，以及沙化草地的边缘地带（如河谷两岸、牧道周边）。</w:t>
      </w:r>
    </w:p>
    <w:p w14:paraId="3B94C5CA">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具体措施：</w:t>
      </w:r>
    </w:p>
    <w:p w14:paraId="6F06DE79">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（1）铺设草方格沙障：选用当地的青稞秸秆、燕麦秸秆等牧草秸秆，扎制1m×1m或1.5m×1.5m的方格（严重的区域可加密至0.5m×0.5m），可使地表风速降低60%以上，有效固定沙源。</w:t>
      </w:r>
    </w:p>
    <w:p w14:paraId="7C482A97">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（2）布设砾石沙障：在石料丰富的区域（如八宿县怒江沿线），利用砾石铺设带状或方格沙障，成本更低且耐久性强，适合极端干旱区域。</w:t>
      </w:r>
    </w:p>
    <w:p w14:paraId="2E4A8F16">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（3）实施重点：优先在冬虫夏草核心产区的外围沙化带设置沙障，防止流沙侵蚀优质草甸。</w:t>
      </w:r>
    </w:p>
    <w:p w14:paraId="51F3140A">
      <w:pPr>
        <w:spacing w:line="360" w:lineRule="auto"/>
        <w:ind w:firstLine="482" w:firstLineChars="200"/>
        <w:rPr>
          <w:rStyle w:val="27"/>
          <w:rFonts w:ascii="Times New Roman" w:hAnsi="Times New Roman" w:cs="Times New Roman"/>
          <w:bCs/>
          <w:sz w:val="24"/>
          <w:szCs w:val="24"/>
          <w:shd w:val="clear" w:color="auto" w:fill="FFFFFF"/>
        </w:rPr>
      </w:pPr>
      <w:r>
        <w:rPr>
          <w:rStyle w:val="27"/>
          <w:rFonts w:hint="eastAsia" w:ascii="Times New Roman" w:hAnsi="Times New Roman" w:cs="Times New Roman"/>
          <w:bCs/>
          <w:sz w:val="24"/>
          <w:szCs w:val="24"/>
          <w:shd w:val="clear" w:color="auto" w:fill="FFFFFF"/>
        </w:rPr>
        <w:t>2、土壤改良工程</w:t>
      </w:r>
    </w:p>
    <w:p w14:paraId="525330DA">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适用场景：轻度至中度沙化草地，土壤表层沙化但仍有一定有机质基础。</w:t>
      </w:r>
    </w:p>
    <w:p w14:paraId="7DBAB529">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具体措施：</w:t>
      </w:r>
    </w:p>
    <w:p w14:paraId="7F62FFA3">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（1）施加有机改良剂：利用当地牦牛粪便、秸秆腐熟物等，每亩施加1-2吨，提升土壤保水保肥能力。</w:t>
      </w:r>
    </w:p>
    <w:p w14:paraId="4A3A231E">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（2）客土改良：在重度沙化斑块区，客入周边草甸的优质表土（厚度5-10cm），为植被恢复提供基础，需结合生态搬迁减少人为干扰。</w:t>
      </w:r>
    </w:p>
    <w:p w14:paraId="256E28B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（二）核心配套的生物措施（构建稳定的生态系统）</w:t>
      </w:r>
    </w:p>
    <w:p w14:paraId="6AA47F37">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1、适生植物补播与种植</w:t>
      </w:r>
    </w:p>
    <w:p w14:paraId="60E02244">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（1）核心原则：选用本土、耐寒、耐旱、耐贫瘠的多年生草本和灌木，避免外来物种入侵。</w:t>
      </w:r>
    </w:p>
    <w:p w14:paraId="2BB64838">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（2）推荐物种：</w:t>
      </w:r>
    </w:p>
    <w:p w14:paraId="333D20FC">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草本：垂穗披碱草、老芒麦、高山嵩草、紫花针茅（均为八宿县天然草甸的优势物种，适应海拔4000m以上环境）。</w:t>
      </w:r>
    </w:p>
    <w:p w14:paraId="66D5ADD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灌木：沙棘、小檗、金露梅（可在沙化草地的坡地、沟谷种植，起到固沙和水土保持作用，沙棘还可作为经济林，增加牧民收入）。</w:t>
      </w:r>
    </w:p>
    <w:p w14:paraId="433C6605">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（3）种植方式：</w:t>
      </w:r>
    </w:p>
    <w:p w14:paraId="0A4FBBC4">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轻度沙化草地：直接补播，每亩播种量1.5-2kg，结合雨季（6-7月）进行，成活率可达60%以上。</w:t>
      </w:r>
    </w:p>
    <w:p w14:paraId="655EA9F8">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中度至重度沙化草地：在沙障保护内进行育苗移栽，选用当地苗圃培育的1-2年生幼苗，成活率可达50%左右。</w:t>
      </w:r>
    </w:p>
    <w:p w14:paraId="3117C83D">
      <w:pPr>
        <w:spacing w:line="360" w:lineRule="auto"/>
        <w:ind w:firstLine="480" w:firstLineChars="200"/>
        <w:rPr>
          <w:rStyle w:val="27"/>
          <w:rFonts w:ascii="Times New Roman" w:hAnsi="Times New Roman" w:cs="Times New Roman"/>
          <w:bCs/>
          <w:sz w:val="24"/>
          <w:szCs w:val="24"/>
          <w:shd w:val="clear" w:color="auto" w:fill="FFFFFF"/>
        </w:rPr>
      </w:pPr>
      <w:r>
        <w:rPr>
          <w:rStyle w:val="27"/>
          <w:rFonts w:hint="eastAsia" w:ascii="Times New Roman" w:hAnsi="Times New Roman" w:cs="Times New Roman"/>
          <w:b w:val="0"/>
          <w:bCs/>
          <w:sz w:val="24"/>
          <w:szCs w:val="24"/>
          <w:shd w:val="clear" w:color="auto" w:fill="FFFFFF"/>
        </w:rPr>
        <w:t>2、</w:t>
      </w:r>
      <w:r>
        <w:rPr>
          <w:rStyle w:val="27"/>
          <w:rFonts w:ascii="Times New Roman" w:hAnsi="Times New Roman" w:cs="Times New Roman"/>
          <w:b w:val="0"/>
          <w:bCs/>
          <w:sz w:val="24"/>
          <w:szCs w:val="24"/>
          <w:shd w:val="clear" w:color="auto" w:fill="FFFFFF"/>
        </w:rPr>
        <w:t>人工草地建植与轮作</w:t>
      </w:r>
    </w:p>
    <w:p w14:paraId="3BC64C6E">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适用场景：沙化严重且靠近牧民定居点的区域。</w:t>
      </w:r>
    </w:p>
    <w:p w14:paraId="17F0E9A5">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具体措施：将沙化草地划片，建植人工优质饲草基地（垂穗披碱草+燕麦混播），亩产鲜草可达2000-3000kg，既能为牲畜提供饲料，减轻天然草地的放牧压力，又能通过秸秆还田改良土壤。</w:t>
      </w:r>
    </w:p>
    <w:p w14:paraId="65A8462D">
      <w:pPr>
        <w:spacing w:line="360" w:lineRule="auto"/>
        <w:ind w:firstLine="480" w:firstLineChars="200"/>
        <w:rPr>
          <w:rStyle w:val="27"/>
          <w:rFonts w:ascii="Times New Roman" w:hAnsi="Times New Roman" w:cs="Times New Roman"/>
          <w:bCs/>
          <w:sz w:val="24"/>
          <w:szCs w:val="24"/>
          <w:shd w:val="clear" w:color="auto" w:fill="FFFFFF"/>
        </w:rPr>
      </w:pPr>
      <w:r>
        <w:rPr>
          <w:rStyle w:val="27"/>
          <w:rFonts w:ascii="Times New Roman" w:hAnsi="Times New Roman" w:cs="Times New Roman"/>
          <w:b w:val="0"/>
          <w:bCs/>
          <w:sz w:val="24"/>
          <w:szCs w:val="24"/>
          <w:shd w:val="clear" w:color="auto" w:fill="FFFFFF"/>
        </w:rPr>
        <w:t>协同策略：人工草地的秸秆可作为草方格沙障的原料，形成</w:t>
      </w:r>
      <w:r>
        <w:rPr>
          <w:rStyle w:val="27"/>
          <w:rFonts w:hint="eastAsia" w:ascii="Times New Roman" w:hAnsi="Times New Roman" w:cs="Times New Roman"/>
          <w:b w:val="0"/>
          <w:bCs/>
          <w:sz w:val="24"/>
          <w:szCs w:val="24"/>
          <w:shd w:val="clear" w:color="auto" w:fill="FFFFFF"/>
        </w:rPr>
        <w:t>“</w:t>
      </w:r>
      <w:r>
        <w:rPr>
          <w:rStyle w:val="27"/>
          <w:rFonts w:ascii="Times New Roman" w:cs="Times New Roman" w:hAnsiTheme="minorEastAsia"/>
          <w:b w:val="0"/>
          <w:bCs/>
          <w:sz w:val="24"/>
          <w:szCs w:val="24"/>
          <w:shd w:val="clear" w:color="auto" w:fill="FFFFFF"/>
        </w:rPr>
        <w:t>饲草生产</w:t>
      </w:r>
      <w:r>
        <w:rPr>
          <w:rStyle w:val="27"/>
          <w:rFonts w:ascii="Times New Roman" w:hAnsi="Times New Roman" w:cs="Times New Roman"/>
          <w:b w:val="0"/>
          <w:bCs/>
          <w:sz w:val="24"/>
          <w:szCs w:val="24"/>
          <w:shd w:val="clear" w:color="auto" w:fill="FFFFFF"/>
        </w:rPr>
        <w:t>-</w:t>
      </w:r>
      <w:r>
        <w:rPr>
          <w:rStyle w:val="27"/>
          <w:rFonts w:ascii="Times New Roman" w:cs="Times New Roman" w:hAnsiTheme="minorEastAsia"/>
          <w:b w:val="0"/>
          <w:bCs/>
          <w:sz w:val="24"/>
          <w:szCs w:val="24"/>
          <w:shd w:val="clear" w:color="auto" w:fill="FFFFFF"/>
        </w:rPr>
        <w:t>沙障制作</w:t>
      </w:r>
      <w:r>
        <w:rPr>
          <w:rStyle w:val="27"/>
          <w:rFonts w:ascii="Times New Roman" w:hAnsi="Times New Roman" w:cs="Times New Roman"/>
          <w:b w:val="0"/>
          <w:bCs/>
          <w:sz w:val="24"/>
          <w:szCs w:val="24"/>
          <w:shd w:val="clear" w:color="auto" w:fill="FFFFFF"/>
        </w:rPr>
        <w:t>-</w:t>
      </w:r>
      <w:r>
        <w:rPr>
          <w:rStyle w:val="27"/>
          <w:rFonts w:ascii="Times New Roman" w:cs="Times New Roman" w:hAnsiTheme="minorEastAsia"/>
          <w:b w:val="0"/>
          <w:bCs/>
          <w:sz w:val="24"/>
          <w:szCs w:val="24"/>
          <w:shd w:val="clear" w:color="auto" w:fill="FFFFFF"/>
        </w:rPr>
        <w:t>生态修复</w:t>
      </w:r>
      <w:r>
        <w:rPr>
          <w:rStyle w:val="27"/>
          <w:rFonts w:hint="eastAsia" w:ascii="Times New Roman" w:hAnsi="Times New Roman" w:cs="Times New Roman"/>
          <w:b w:val="0"/>
          <w:bCs/>
          <w:sz w:val="24"/>
          <w:szCs w:val="24"/>
          <w:shd w:val="clear" w:color="auto" w:fill="FFFFFF"/>
        </w:rPr>
        <w:t>”</w:t>
      </w:r>
      <w:r>
        <w:rPr>
          <w:rStyle w:val="27"/>
          <w:rFonts w:ascii="Times New Roman" w:hAnsi="Times New Roman" w:cs="Times New Roman"/>
          <w:b w:val="0"/>
          <w:bCs/>
          <w:sz w:val="24"/>
          <w:szCs w:val="24"/>
          <w:shd w:val="clear" w:color="auto" w:fill="FFFFFF"/>
        </w:rPr>
        <w:t>的循环。</w:t>
      </w:r>
    </w:p>
    <w:p w14:paraId="1C1D76C5">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（三）长效保障的管理措施（避免沙化反复）</w:t>
      </w:r>
    </w:p>
    <w:p w14:paraId="48C9E52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1、</w:t>
      </w:r>
      <w:r>
        <w:rPr>
          <w:rStyle w:val="27"/>
          <w:rFonts w:ascii="Times New Roman" w:hAnsi="Times New Roman" w:cs="Times New Roman"/>
          <w:b w:val="0"/>
          <w:bCs/>
          <w:sz w:val="24"/>
          <w:szCs w:val="24"/>
          <w:shd w:val="clear" w:color="auto" w:fill="FFFFFF"/>
        </w:rPr>
        <w:t>严格的草原载畜量管控</w:t>
      </w:r>
    </w:p>
    <w:p w14:paraId="4E1B68AA">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落实草畜平衡制度：对超载放牧的牧民给予补贴，鼓励减畜；对严格执行草畜平衡的牧民给予奖励。</w:t>
      </w:r>
    </w:p>
    <w:p w14:paraId="5D9E65EC">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推广季节性休牧和划区轮牧：在冬虫夏草采挖期（5-6月）和牧草返青期（4-5月），对核心草甸区实行休牧，禁止放牧和采挖。</w:t>
      </w:r>
    </w:p>
    <w:p w14:paraId="7D902635">
      <w:pPr>
        <w:spacing w:line="360" w:lineRule="auto"/>
        <w:ind w:firstLine="480" w:firstLineChars="200"/>
        <w:rPr>
          <w:rStyle w:val="27"/>
          <w:rFonts w:ascii="Times New Roman" w:hAnsi="Times New Roman" w:cs="Times New Roman"/>
          <w:bCs/>
          <w:shd w:val="clear" w:color="auto" w:fill="FFFFFF"/>
        </w:rPr>
      </w:pPr>
      <w:r>
        <w:rPr>
          <w:rStyle w:val="27"/>
          <w:rFonts w:hint="eastAsia" w:ascii="Times New Roman" w:hAnsi="Times New Roman" w:cs="Times New Roman"/>
          <w:b w:val="0"/>
          <w:bCs/>
          <w:sz w:val="24"/>
          <w:szCs w:val="24"/>
          <w:shd w:val="clear" w:color="auto" w:fill="FFFFFF"/>
        </w:rPr>
        <w:t>2、</w:t>
      </w:r>
      <w:r>
        <w:rPr>
          <w:rStyle w:val="27"/>
          <w:rFonts w:ascii="Times New Roman" w:hAnsi="Times New Roman" w:cs="Times New Roman"/>
          <w:b w:val="0"/>
          <w:bCs/>
          <w:sz w:val="24"/>
          <w:szCs w:val="24"/>
          <w:shd w:val="clear" w:color="auto" w:fill="FFFFFF"/>
        </w:rPr>
        <w:t>生态移民与后续产业扶持</w:t>
      </w:r>
    </w:p>
    <w:p w14:paraId="6D97798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适用场景：沙化严重且生存条件恶劣的区域。</w:t>
      </w:r>
    </w:p>
    <w:p w14:paraId="674D723B">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具体措施：将牧民搬迁至县城或乡镇定居点，通过技能培训，引导其从事冬虫夏草规范化采挖、饲草加工、生态旅游服务等产业，从根本上减少对沙化草地的依赖。</w:t>
      </w:r>
    </w:p>
    <w:p w14:paraId="4CAA8750">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hint="eastAsia" w:ascii="Times New Roman" w:hAnsi="Times New Roman" w:cs="Times New Roman"/>
          <w:b w:val="0"/>
          <w:bCs/>
          <w:sz w:val="24"/>
          <w:szCs w:val="24"/>
          <w:shd w:val="clear" w:color="auto" w:fill="FFFFFF"/>
        </w:rPr>
        <w:t>3、</w:t>
      </w:r>
      <w:r>
        <w:rPr>
          <w:rStyle w:val="27"/>
          <w:rFonts w:ascii="Times New Roman" w:hAnsi="Times New Roman" w:cs="Times New Roman"/>
          <w:b w:val="0"/>
          <w:bCs/>
          <w:sz w:val="24"/>
          <w:szCs w:val="24"/>
          <w:shd w:val="clear" w:color="auto" w:fill="FFFFFF"/>
        </w:rPr>
        <w:t>建立草地生态监测体系</w:t>
      </w:r>
    </w:p>
    <w:p w14:paraId="326F9E04">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前沿技术应用：利用数字孪生技术，构建八宿县草地沙化修复数字孪生平台。</w:t>
      </w:r>
    </w:p>
    <w:p w14:paraId="4810D230">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实时监测：通过卫星遥感、无人机、地面传感器等，实时监测沙化草地的植被覆盖度、土壤含水量、风速等指标。</w:t>
      </w:r>
    </w:p>
    <w:p w14:paraId="68F8FEB8">
      <w:pPr>
        <w:spacing w:line="360" w:lineRule="auto"/>
        <w:ind w:firstLine="480" w:firstLineChars="200"/>
        <w:rPr>
          <w:rStyle w:val="27"/>
          <w:rFonts w:ascii="Times New Roman" w:hAnsi="Times New Roman" w:cs="Times New Roman"/>
          <w:b w:val="0"/>
          <w:bCs/>
          <w:sz w:val="24"/>
          <w:szCs w:val="24"/>
          <w:shd w:val="clear" w:color="auto" w:fill="FFFFFF"/>
        </w:rPr>
      </w:pPr>
      <w:r>
        <w:rPr>
          <w:rStyle w:val="27"/>
          <w:rFonts w:ascii="Times New Roman" w:hAnsi="Times New Roman" w:cs="Times New Roman"/>
          <w:b w:val="0"/>
          <w:bCs/>
          <w:sz w:val="24"/>
          <w:szCs w:val="24"/>
          <w:shd w:val="clear" w:color="auto" w:fill="FFFFFF"/>
        </w:rPr>
        <w:t>模拟预测：模拟不同修复措施的效果，为后续修复方案的优化提供科学依据。</w:t>
      </w:r>
    </w:p>
    <w:p w14:paraId="0BF2F551">
      <w:pPr>
        <w:spacing w:line="360" w:lineRule="auto"/>
        <w:ind w:firstLine="480" w:firstLineChars="200"/>
        <w:rPr>
          <w:rStyle w:val="27"/>
          <w:rFonts w:ascii="Times New Roman" w:hAnsi="Times New Roman"/>
          <w:b w:val="0"/>
          <w:bCs/>
          <w:sz w:val="24"/>
          <w:szCs w:val="24"/>
          <w:shd w:val="clear" w:color="auto" w:fill="FFFFFF"/>
        </w:rPr>
      </w:pPr>
      <w:r>
        <w:rPr>
          <w:rStyle w:val="27"/>
          <w:rFonts w:ascii="Times New Roman" w:hAnsi="Times New Roman" w:cs="Times New Roman"/>
          <w:b w:val="0"/>
          <w:bCs/>
          <w:sz w:val="24"/>
          <w:szCs w:val="24"/>
          <w:shd w:val="clear" w:color="auto" w:fill="FFFFFF"/>
        </w:rPr>
        <w:t>管理调度：实现对休牧区域、补播区域、人工草地的智能化管理，提高修复效率。</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09A1B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70E4DBDD">
            <w:pPr>
              <w:rPr>
                <w:rFonts w:ascii="Times New Roman" w:hAnsi="Times New Roman" w:eastAsia="宋体" w:cs="Times New Roman"/>
                <w:bCs/>
                <w:kern w:val="44"/>
                <w:szCs w:val="44"/>
              </w:rPr>
            </w:pPr>
            <w:r>
              <w:rPr>
                <w:rFonts w:ascii="Times New Roman" w:eastAsia="宋体" w:cs="Times New Roman"/>
                <w:b/>
                <w:kern w:val="44"/>
                <w:sz w:val="24"/>
                <w:szCs w:val="24"/>
              </w:rPr>
              <w:t>专栏</w:t>
            </w:r>
            <w:r>
              <w:rPr>
                <w:rFonts w:ascii="Times New Roman" w:hAnsi="Times New Roman" w:eastAsia="宋体" w:cs="Times New Roman"/>
                <w:b/>
                <w:kern w:val="44"/>
                <w:sz w:val="24"/>
                <w:szCs w:val="24"/>
              </w:rPr>
              <w:t>5-</w:t>
            </w:r>
            <w:r>
              <w:rPr>
                <w:rFonts w:hint="eastAsia" w:ascii="Times New Roman" w:hAnsi="Times New Roman" w:eastAsia="宋体" w:cs="Times New Roman"/>
                <w:b/>
                <w:kern w:val="44"/>
                <w:sz w:val="24"/>
                <w:szCs w:val="24"/>
              </w:rPr>
              <w:t xml:space="preserve">3 </w:t>
            </w:r>
            <w:r>
              <w:rPr>
                <w:rStyle w:val="27"/>
                <w:rFonts w:ascii="Times New Roman" w:hAnsi="Times New Roman" w:cs="Times New Roman"/>
                <w:sz w:val="24"/>
                <w:szCs w:val="24"/>
                <w:shd w:val="clear" w:color="auto" w:fill="FFFFFF"/>
              </w:rPr>
              <w:t>退化草地生态修复重点工程</w:t>
            </w:r>
          </w:p>
        </w:tc>
      </w:tr>
      <w:tr w14:paraId="6A619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EBB8A64">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（1）生态保护红线内草原保护修复工程</w:t>
            </w:r>
          </w:p>
          <w:p w14:paraId="1F973377">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生态保护红线内草原，原则上按禁止开发区域进行管理，禁止滥伐、狩猎、开垦、烧荒、新上矿产资源开发项目等不符合主体功能定位的各类开发活动。应建立负面清单管理制度，强化监测监管，以稳定维护区域主导生态功能。严格执行基本草原保护、禁牧休牧、草畜平衡和草原生态保护监测评估基本制度，严格落实草原生态保护补助奖励政策，提升草原生态系统功能。加大天然草原保护力度，实施退化草原修复工程，加强生态修复后草原管理。</w:t>
            </w:r>
            <w:r>
              <w:rPr>
                <w:rStyle w:val="27"/>
                <w:rFonts w:hint="eastAsia" w:ascii="Times New Roman" w:hAnsi="Times New Roman"/>
                <w:b w:val="0"/>
                <w:sz w:val="24"/>
                <w:szCs w:val="24"/>
                <w:shd w:val="clear" w:color="auto" w:fill="FFFFFF"/>
              </w:rPr>
              <w:t>根据2024年林草综合监测数据，在生态保护红线内拟推进约80万亩（包括在退化草原生态修复工程中）的退化草原生态修复治理。</w:t>
            </w:r>
          </w:p>
          <w:p w14:paraId="4377CF74">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（2）退化草原生态修复工程</w:t>
            </w:r>
          </w:p>
          <w:p w14:paraId="02C01A0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以“统筹规划，分类指导，系统治理，连片推进”为原则，充分考虑草原生态系统脆弱性和畜牧生产需求，到2035年拟推进约</w:t>
            </w:r>
            <w:r>
              <w:rPr>
                <w:rStyle w:val="27"/>
                <w:rFonts w:hint="eastAsia" w:ascii="Times New Roman" w:hAnsi="Times New Roman" w:eastAsia="宋体" w:cs="Times New Roman"/>
                <w:b w:val="0"/>
                <w:bCs/>
                <w:sz w:val="24"/>
                <w:szCs w:val="24"/>
                <w:shd w:val="clear" w:color="auto" w:fill="FFFFFF"/>
              </w:rPr>
              <w:t>500</w:t>
            </w:r>
            <w:r>
              <w:rPr>
                <w:rStyle w:val="27"/>
                <w:rFonts w:ascii="Times New Roman" w:hAnsi="Times New Roman" w:eastAsia="宋体" w:cs="Times New Roman"/>
                <w:b w:val="0"/>
                <w:bCs/>
                <w:sz w:val="24"/>
                <w:szCs w:val="24"/>
                <w:shd w:val="clear" w:color="auto" w:fill="FFFFFF"/>
              </w:rPr>
              <w:t>万亩的退化草原生态修复治理，其中，轻度退化草原约</w:t>
            </w:r>
            <w:r>
              <w:rPr>
                <w:rStyle w:val="27"/>
                <w:rFonts w:hint="eastAsia" w:ascii="Times New Roman" w:hAnsi="Times New Roman" w:eastAsia="宋体" w:cs="Times New Roman"/>
                <w:b w:val="0"/>
                <w:bCs/>
                <w:sz w:val="24"/>
                <w:szCs w:val="24"/>
                <w:shd w:val="clear" w:color="auto" w:fill="FFFFFF"/>
              </w:rPr>
              <w:t>200</w:t>
            </w:r>
            <w:r>
              <w:rPr>
                <w:rStyle w:val="27"/>
                <w:rFonts w:ascii="Times New Roman" w:hAnsi="Times New Roman" w:eastAsia="宋体" w:cs="Times New Roman"/>
                <w:b w:val="0"/>
                <w:bCs/>
                <w:sz w:val="24"/>
                <w:szCs w:val="24"/>
                <w:shd w:val="clear" w:color="auto" w:fill="FFFFFF"/>
              </w:rPr>
              <w:t>万亩、中度退化草原约</w:t>
            </w:r>
            <w:r>
              <w:rPr>
                <w:rStyle w:val="27"/>
                <w:rFonts w:hint="eastAsia" w:ascii="Times New Roman" w:hAnsi="Times New Roman" w:eastAsia="宋体" w:cs="Times New Roman"/>
                <w:b w:val="0"/>
                <w:bCs/>
                <w:sz w:val="24"/>
                <w:szCs w:val="24"/>
                <w:shd w:val="clear" w:color="auto" w:fill="FFFFFF"/>
              </w:rPr>
              <w:t>280</w:t>
            </w:r>
            <w:r>
              <w:rPr>
                <w:rStyle w:val="27"/>
                <w:rFonts w:ascii="Times New Roman" w:hAnsi="Times New Roman" w:eastAsia="宋体" w:cs="Times New Roman"/>
                <w:b w:val="0"/>
                <w:bCs/>
                <w:sz w:val="24"/>
                <w:szCs w:val="24"/>
                <w:shd w:val="clear" w:color="auto" w:fill="FFFFFF"/>
              </w:rPr>
              <w:t>万亩、重度退化草原约</w:t>
            </w:r>
            <w:r>
              <w:rPr>
                <w:rStyle w:val="27"/>
                <w:rFonts w:hint="eastAsia" w:ascii="Times New Roman" w:hAnsi="Times New Roman" w:eastAsia="宋体" w:cs="Times New Roman"/>
                <w:b w:val="0"/>
                <w:bCs/>
                <w:sz w:val="24"/>
                <w:szCs w:val="24"/>
                <w:shd w:val="clear" w:color="auto" w:fill="FFFFFF"/>
              </w:rPr>
              <w:t>20</w:t>
            </w:r>
            <w:r>
              <w:rPr>
                <w:rStyle w:val="27"/>
                <w:rFonts w:ascii="Times New Roman" w:hAnsi="Times New Roman" w:eastAsia="宋体" w:cs="Times New Roman"/>
                <w:b w:val="0"/>
                <w:bCs/>
                <w:sz w:val="24"/>
                <w:szCs w:val="24"/>
                <w:shd w:val="clear" w:color="auto" w:fill="FFFFFF"/>
              </w:rPr>
              <w:t>万亩。其中，包括如下治理工程。</w:t>
            </w:r>
          </w:p>
          <w:p w14:paraId="2AFBC0E6">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1）怒江上游生态综合治理（西藏“两江四河”造林绿化与综合整治工程重点项目）</w:t>
            </w:r>
          </w:p>
          <w:p w14:paraId="44CA121D">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采取围栏封育、毒害草治理、飞播种草等措施，加强极重度退化草原治理及草原有害生物监测预警。采取生物治沙、封禁保护等措施，促进沙化土地修复。采取预防保护和综合治理措施，防治水土流失。落实草原、森林、湿地等生态补偿政策。</w:t>
            </w:r>
          </w:p>
          <w:p w14:paraId="2DE970C9">
            <w:pPr>
              <w:pStyle w:val="39"/>
              <w:spacing w:line="360" w:lineRule="auto"/>
              <w:ind w:left="420" w:firstLine="0"/>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2）澜沧江源水源涵养及生物多样性保护</w:t>
            </w:r>
          </w:p>
          <w:p w14:paraId="6D667663">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落实草原、湿地、森林等生态补偿政策，以澜沧江源、扎曲河流域等区域为重点，全面加强自然生态系统保护和修复。采取差别化治理思路保护修复草原生态系统，对黑土滩、沙化草原等重度退化草原实施围栏封育、人工撒播、施肥、鼠虫害防控等措施。在澜沧江源、白扎林场等生物多样性保护关键区实施栖息地保护恢复、野生动物廊道建设等工程，保障物种迁徙，恢复和维持重要斑块间连通性。</w:t>
            </w:r>
          </w:p>
          <w:p w14:paraId="66785CA3">
            <w:pPr>
              <w:pStyle w:val="39"/>
              <w:spacing w:line="360" w:lineRule="auto"/>
              <w:ind w:left="479" w:leftChars="228" w:firstLine="0"/>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3）藏东南高寒林区生态保护与综合治理项目（藏东南高原生态保护和修复工程重</w:t>
            </w:r>
          </w:p>
          <w:p w14:paraId="4CF09008">
            <w:pPr>
              <w:pStyle w:val="39"/>
              <w:spacing w:line="360" w:lineRule="auto"/>
              <w:ind w:firstLine="0"/>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点项目）</w:t>
            </w:r>
          </w:p>
          <w:p w14:paraId="298767B2">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优化草原围栏管理，落实草原生态保护补助奖励政策，促进草原休养生息、自然恢复；实施黑土滩治理、毒害草治理、鼠虫害治理、飞播种草等工程，恢复重度退化草原生态功能。采取生物治沙措施，开展沙化土地治理。采取封禁治理、水土保持造林种草等措施，防治水土流失，在适宜地区推进生态清洁小流域建设。</w:t>
            </w:r>
          </w:p>
          <w:p w14:paraId="7E34088E">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4）金沙江中上游高原区生物多样性保护与生态修复</w:t>
            </w:r>
          </w:p>
          <w:p w14:paraId="5463504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提升金沙江流域生物多样性保护与生态修复效果</w:t>
            </w:r>
            <w:r>
              <w:rPr>
                <w:rStyle w:val="27"/>
                <w:rFonts w:hint="eastAsia" w:ascii="Times New Roman" w:hAnsi="Times New Roman" w:eastAsia="宋体" w:cs="Times New Roman"/>
                <w:b w:val="0"/>
                <w:bCs/>
                <w:sz w:val="24"/>
                <w:szCs w:val="24"/>
                <w:shd w:val="clear" w:color="auto" w:fill="FFFFFF"/>
              </w:rPr>
              <w:t>。采取围栏封育、退化草地改良、补播乡土草种，配套灌溉与施肥，提升植被盖度与生产力。开展鼠虫害综合防治，采用生物制剂与天敌调控，防除毒害草，保护原生植物群落。</w:t>
            </w:r>
          </w:p>
          <w:p w14:paraId="0988E25F">
            <w:pPr>
              <w:pStyle w:val="39"/>
              <w:spacing w:line="360" w:lineRule="auto"/>
              <w:rPr>
                <w:rStyle w:val="27"/>
                <w:rFonts w:ascii="Times New Roman" w:hAnsi="Times New Roman" w:eastAsia="宋体" w:cs="Times New Roman"/>
                <w:b w:val="0"/>
                <w:bCs/>
                <w:szCs w:val="24"/>
                <w:shd w:val="clear" w:color="auto" w:fill="FFFFFF"/>
              </w:rPr>
            </w:pPr>
            <w:r>
              <w:rPr>
                <w:rStyle w:val="27"/>
                <w:rFonts w:ascii="Times New Roman" w:hAnsi="Times New Roman" w:eastAsia="宋体" w:cs="Times New Roman"/>
                <w:b w:val="0"/>
                <w:bCs/>
                <w:szCs w:val="24"/>
                <w:shd w:val="clear" w:color="auto" w:fill="FFFFFF"/>
              </w:rPr>
              <w:t>（3）草原监测预警体系建设工程</w:t>
            </w:r>
          </w:p>
          <w:p w14:paraId="520A4115">
            <w:pPr>
              <w:spacing w:line="360" w:lineRule="auto"/>
              <w:ind w:firstLine="480" w:firstLineChars="200"/>
              <w:rPr>
                <w:rFonts w:ascii="Times New Roman" w:hAnsi="Times New Roman" w:eastAsia="方正楷体_GBK" w:cs="Times New Roman"/>
                <w:bCs/>
                <w:szCs w:val="24"/>
              </w:rPr>
            </w:pPr>
            <w:r>
              <w:rPr>
                <w:rStyle w:val="27"/>
                <w:rFonts w:ascii="Times New Roman" w:hAnsi="Times New Roman" w:eastAsia="宋体" w:cs="Times New Roman"/>
                <w:b w:val="0"/>
                <w:bCs/>
                <w:sz w:val="24"/>
                <w:szCs w:val="24"/>
                <w:shd w:val="clear" w:color="auto" w:fill="FFFFFF"/>
              </w:rPr>
              <w:t>怒江上游生态综合治理项目。采取围栏封育、毒害草治理、飞播种草等措施，加强极重度退化草原治理及草原有害生物监测预警。</w:t>
            </w:r>
          </w:p>
        </w:tc>
      </w:tr>
    </w:tbl>
    <w:p w14:paraId="42252912">
      <w:pPr>
        <w:pStyle w:val="4"/>
        <w:numPr>
          <w:ilvl w:val="2"/>
          <w:numId w:val="2"/>
        </w:numPr>
        <w:spacing w:before="120" w:after="120" w:line="360" w:lineRule="auto"/>
        <w:rPr>
          <w:rStyle w:val="28"/>
          <w:color w:val="auto"/>
          <w:sz w:val="28"/>
          <w:szCs w:val="28"/>
          <w:u w:val="none"/>
        </w:rPr>
      </w:pPr>
      <w:bookmarkStart w:id="85" w:name="_Toc31243"/>
      <w:r>
        <w:rPr>
          <w:rStyle w:val="28"/>
          <w:rFonts w:hint="eastAsia"/>
          <w:color w:val="auto"/>
          <w:sz w:val="28"/>
          <w:szCs w:val="28"/>
          <w:u w:val="none"/>
        </w:rPr>
        <w:t>草业发展利用工程</w:t>
      </w:r>
      <w:bookmarkEnd w:id="85"/>
    </w:p>
    <w:p w14:paraId="6F5D8BC4">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草种业工程</w:t>
      </w:r>
    </w:p>
    <w:p w14:paraId="78A4D7ED">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草种是生态植被恢复和植物种群多样性发展的必要条件，更是植被修复治理、改良退化草原、建设人工草地的物质基础，保护草原种质资源是保护草原资源的重要内容之一，积极落实结实期禁牧制度，建设种质资源库、繁育优质草种、驯化乡土草种等方式保护草原种质资源，保障草原资源生物多样性。</w:t>
      </w:r>
    </w:p>
    <w:p w14:paraId="76F0BC5C">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（1）草种质资源保护</w:t>
      </w:r>
    </w:p>
    <w:p w14:paraId="456C8528">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组织开展种质资源普查，特有品种、珍稀濒危物种的保护，全面摸清草种种质资源家底，开展全市草种种质资源普查工作，采集鉴定全市天然草原灌草种种质资源。开展草种质资源库体系建设、草种质资源鉴定与评价等工作，切实加强昌都市草种质资源保护。</w:t>
      </w:r>
    </w:p>
    <w:p w14:paraId="097CA062">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（2）推进草品种保护创新发展</w:t>
      </w:r>
    </w:p>
    <w:p w14:paraId="18FD2EF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b w:val="0"/>
          <w:bCs/>
          <w:sz w:val="24"/>
          <w:szCs w:val="24"/>
          <w:shd w:val="clear" w:color="auto" w:fill="FFFFFF"/>
        </w:rPr>
        <w:t>开展草品种培育攻关、草品种区域试验和草种质资源保护，提升草种业基础研究能力等工作，培育一批在生产和生态建设广泛应用、有育种潜力的栽培草种、野生草种，加大在草原生态保护中的草种良种应用推广，推进昌都市草种业创新发展。</w:t>
      </w:r>
    </w:p>
    <w:p w14:paraId="7AF28ABC">
      <w:pPr>
        <w:spacing w:line="360" w:lineRule="auto"/>
        <w:ind w:firstLine="482" w:firstLineChars="200"/>
        <w:rPr>
          <w:rStyle w:val="27"/>
          <w:rFonts w:ascii="Times New Roman" w:hAnsi="Times New Roman"/>
          <w:sz w:val="24"/>
          <w:szCs w:val="24"/>
          <w:shd w:val="clear" w:color="auto" w:fill="FFFFFF"/>
        </w:rPr>
      </w:pPr>
      <w:r>
        <w:rPr>
          <w:rStyle w:val="27"/>
          <w:rFonts w:hint="eastAsia" w:ascii="Times New Roman" w:hAnsi="Times New Roman"/>
          <w:sz w:val="24"/>
          <w:szCs w:val="24"/>
          <w:shd w:val="clear" w:color="auto" w:fill="FFFFFF"/>
        </w:rPr>
        <w:t>（3）草种产业能力提升工程</w:t>
      </w:r>
    </w:p>
    <w:p w14:paraId="5B3719C3">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加强知识产权保护，建立草品种评价体系，完善认证检测体系，优化草品种认定方法和程序，建设草良种审定信息化平台，强化草种业市场监管，提高草种业技术支撑能力。</w:t>
      </w:r>
    </w:p>
    <w:p w14:paraId="1C2C6862">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建立草产业发展管理体系，开展草产品研发、草种繁育、技术开发等方面研究与资金支持，提升草产品附加值，延长草产业链条。培育竞争力强、市场带动能力强的龙头企业，加快草产业高质量发展。</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498AD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0C4C35B">
            <w:pPr>
              <w:rPr>
                <w:rFonts w:eastAsia="宋体"/>
                <w:bCs/>
                <w:kern w:val="44"/>
                <w:szCs w:val="44"/>
              </w:rPr>
            </w:pPr>
            <w:r>
              <w:rPr>
                <w:rFonts w:hint="eastAsia" w:eastAsia="宋体"/>
                <w:b/>
                <w:kern w:val="44"/>
                <w:sz w:val="24"/>
                <w:szCs w:val="24"/>
              </w:rPr>
              <w:t>专</w:t>
            </w:r>
            <w:r>
              <w:rPr>
                <w:rFonts w:ascii="Times New Roman" w:hAnsi="Times New Roman" w:eastAsia="宋体" w:cs="Times New Roman"/>
                <w:b/>
                <w:kern w:val="44"/>
                <w:sz w:val="24"/>
                <w:szCs w:val="24"/>
              </w:rPr>
              <w:t>栏5-</w:t>
            </w:r>
            <w:r>
              <w:rPr>
                <w:rFonts w:hint="eastAsia" w:ascii="Times New Roman" w:hAnsi="Times New Roman" w:eastAsia="宋体" w:cs="Times New Roman"/>
                <w:b/>
                <w:kern w:val="44"/>
                <w:sz w:val="24"/>
                <w:szCs w:val="24"/>
              </w:rPr>
              <w:t>4</w:t>
            </w:r>
            <w:r>
              <w:rPr>
                <w:rFonts w:ascii="Times New Roman" w:hAnsi="Times New Roman" w:cs="Times New Roman"/>
                <w:b/>
                <w:sz w:val="24"/>
                <w:szCs w:val="24"/>
              </w:rPr>
              <w:t>草种业</w:t>
            </w:r>
            <w:r>
              <w:rPr>
                <w:rStyle w:val="27"/>
                <w:rFonts w:ascii="Times New Roman" w:hAnsi="Times New Roman" w:cs="Times New Roman"/>
                <w:sz w:val="24"/>
                <w:szCs w:val="24"/>
                <w:shd w:val="clear" w:color="auto" w:fill="FFFFFF"/>
              </w:rPr>
              <w:t>重点</w:t>
            </w:r>
            <w:r>
              <w:rPr>
                <w:rStyle w:val="27"/>
                <w:rFonts w:hint="eastAsia" w:ascii="Times New Roman" w:hAnsi="Times New Roman"/>
                <w:sz w:val="24"/>
                <w:szCs w:val="24"/>
                <w:shd w:val="clear" w:color="auto" w:fill="FFFFFF"/>
              </w:rPr>
              <w:t>工程</w:t>
            </w:r>
          </w:p>
        </w:tc>
      </w:tr>
      <w:tr w14:paraId="2686D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57BC73BF">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1.昌都市草原种质资源普查项目</w:t>
            </w:r>
          </w:p>
          <w:p w14:paraId="4B17DAD5">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完成草原种质资源普查，基本摸清全市草种质资源家底。收集乡土草种质资源，编制昌都市草种质资源名录。</w:t>
            </w:r>
          </w:p>
          <w:p w14:paraId="778F11B0">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2.草品种培育攻关项目</w:t>
            </w:r>
          </w:p>
          <w:p w14:paraId="280A1FF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鼓励开展良种选育技术研究，持续推进良种选育攻关工程，选育3-5种耐瘠薄、耐盐碱、抗病虫害、抗干旱的乡土草种。聚焦重点产业领域，以提升核心种源自给率、培育自主品种为目标，整合草业科技资源，推进机制创新，促进产学研结合。</w:t>
            </w:r>
          </w:p>
          <w:p w14:paraId="3D48835C">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3.草原种质资源保护建设项目</w:t>
            </w:r>
          </w:p>
          <w:p w14:paraId="3200582F">
            <w:pPr>
              <w:spacing w:line="360" w:lineRule="auto"/>
              <w:ind w:firstLine="480" w:firstLineChars="200"/>
              <w:rPr>
                <w:rFonts w:eastAsia="宋体"/>
                <w:bCs/>
                <w:kern w:val="44"/>
                <w:szCs w:val="44"/>
              </w:rPr>
            </w:pPr>
            <w:r>
              <w:rPr>
                <w:rStyle w:val="27"/>
                <w:rFonts w:hint="eastAsia" w:ascii="Times New Roman" w:hAnsi="Times New Roman" w:eastAsia="宋体" w:cs="Times New Roman"/>
                <w:b w:val="0"/>
                <w:bCs/>
                <w:sz w:val="24"/>
                <w:szCs w:val="24"/>
                <w:shd w:val="clear" w:color="auto" w:fill="FFFFFF"/>
              </w:rPr>
              <w:t>建立健全草种质资源库、资源圃及原生境保护为一体的保存体系，建立健全西藏野生牧草、乡土草种质资源保护利用体系，完善草种质资源收集保存、评价鉴定、创新利用和信息共享的技术体系。到2030年，争取建设草种原种基地2个、草种生产基地2个。</w:t>
            </w:r>
          </w:p>
        </w:tc>
      </w:tr>
    </w:tbl>
    <w:p w14:paraId="7AF05D5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发展现代饲草产业</w:t>
      </w:r>
    </w:p>
    <w:p w14:paraId="30C1A083">
      <w:pPr>
        <w:spacing w:line="360" w:lineRule="auto"/>
        <w:ind w:firstLine="480" w:firstLineChars="200"/>
        <w:rPr>
          <w:rStyle w:val="27"/>
          <w:rFonts w:ascii="Times New Roman"/>
          <w:b w:val="0"/>
          <w:bCs/>
          <w:sz w:val="24"/>
          <w:szCs w:val="24"/>
          <w:shd w:val="clear" w:color="auto" w:fill="FFFFFF"/>
        </w:rPr>
      </w:pPr>
      <w:r>
        <w:rPr>
          <w:rStyle w:val="27"/>
          <w:rFonts w:hint="eastAsia" w:ascii="Times New Roman"/>
          <w:b w:val="0"/>
          <w:bCs/>
          <w:sz w:val="24"/>
          <w:szCs w:val="24"/>
          <w:shd w:val="clear" w:color="auto" w:fill="FFFFFF"/>
        </w:rPr>
        <w:t>鼓励和引导企业、农民合作社等投资兴建现代化饲草加工厂、饲草种植基地等，提高饲草的产量和质量。引进和推广先进的饲草种植和加工技术，提高饲草的生产效率和产品品质。组织专家、技术人员进行技术指导，加强培训和学习交流，提高饲草从种植到加工的整体技术水平。注重饲草产品的品质和品牌建设，提高产品附加值。可以利用地理优势、独特资源等打造特色饲草品牌，推动饲草产品走向市场，增加品牌知名度和竞争力。建立健全饲草产业的市场体系，加强产、供、销的衔接，推动饲草产业与畜牧养殖业的协同发展。可以健全饲草交易市场，建立饲草产业协会或行业组织，促进产业的共同发展和交流合作。</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57C53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3E86685B">
            <w:pPr>
              <w:rPr>
                <w:rFonts w:ascii="Times New Roman" w:hAnsi="Times New Roman" w:eastAsia="宋体" w:cs="Times New Roman"/>
                <w:bCs/>
                <w:kern w:val="44"/>
                <w:szCs w:val="44"/>
              </w:rPr>
            </w:pPr>
            <w:r>
              <w:rPr>
                <w:rFonts w:ascii="Times New Roman" w:hAnsi="Times New Roman" w:eastAsia="宋体" w:cs="Times New Roman"/>
                <w:b/>
                <w:kern w:val="44"/>
                <w:sz w:val="24"/>
                <w:szCs w:val="24"/>
              </w:rPr>
              <w:t>专栏5-</w:t>
            </w:r>
            <w:r>
              <w:rPr>
                <w:rFonts w:hint="eastAsia" w:ascii="Times New Roman" w:hAnsi="Times New Roman" w:eastAsia="宋体" w:cs="Times New Roman"/>
                <w:b/>
                <w:kern w:val="44"/>
                <w:sz w:val="24"/>
                <w:szCs w:val="24"/>
              </w:rPr>
              <w:t xml:space="preserve">5 </w:t>
            </w:r>
            <w:r>
              <w:rPr>
                <w:rStyle w:val="27"/>
                <w:rFonts w:ascii="Times New Roman" w:hAnsi="Times New Roman" w:eastAsia="宋体" w:cs="Times New Roman"/>
                <w:sz w:val="24"/>
                <w:szCs w:val="24"/>
                <w:shd w:val="clear" w:color="auto" w:fill="FFFFFF"/>
              </w:rPr>
              <w:t>现代饲草产业</w:t>
            </w:r>
            <w:r>
              <w:rPr>
                <w:rStyle w:val="27"/>
                <w:rFonts w:ascii="Times New Roman" w:hAnsi="Times New Roman" w:cs="Times New Roman"/>
                <w:sz w:val="24"/>
                <w:szCs w:val="24"/>
                <w:shd w:val="clear" w:color="auto" w:fill="FFFFFF"/>
              </w:rPr>
              <w:t>重点工程</w:t>
            </w:r>
          </w:p>
        </w:tc>
      </w:tr>
      <w:tr w14:paraId="5FE6B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49B4ECD7">
            <w:pPr>
              <w:pStyle w:val="39"/>
              <w:spacing w:line="360" w:lineRule="auto"/>
              <w:ind w:firstLine="480" w:firstLineChars="200"/>
              <w:rPr>
                <w:rFonts w:ascii="Times New Roman" w:hAnsi="Times New Roman" w:eastAsia="方正楷体_GBK" w:cs="Times New Roman"/>
                <w:bCs/>
                <w:szCs w:val="24"/>
              </w:rPr>
            </w:pPr>
            <w:r>
              <w:rPr>
                <w:rStyle w:val="27"/>
                <w:rFonts w:hint="eastAsia" w:ascii="Times New Roman" w:hAnsi="Times New Roman" w:eastAsia="宋体" w:cs="Times New Roman"/>
                <w:b w:val="0"/>
                <w:bCs/>
                <w:szCs w:val="24"/>
                <w:shd w:val="clear" w:color="auto" w:fill="FFFFFF"/>
              </w:rPr>
              <w:t>围绕适应昌都市生态环境特点的主要草种（如：黑麦草、披碱草、老芒麦、箭筈豌豆、燕麦草、青贮玉米等），至2035年建设饲草生产与加工基地80000亩。</w:t>
            </w:r>
          </w:p>
        </w:tc>
      </w:tr>
    </w:tbl>
    <w:p w14:paraId="02D05103">
      <w:pPr>
        <w:pStyle w:val="4"/>
        <w:numPr>
          <w:ilvl w:val="2"/>
          <w:numId w:val="2"/>
        </w:numPr>
        <w:spacing w:before="120" w:after="120" w:line="360" w:lineRule="auto"/>
        <w:rPr>
          <w:rStyle w:val="28"/>
          <w:color w:val="auto"/>
          <w:sz w:val="28"/>
          <w:szCs w:val="28"/>
          <w:u w:val="none"/>
        </w:rPr>
      </w:pPr>
      <w:bookmarkStart w:id="86" w:name="_Toc13096"/>
      <w:r>
        <w:rPr>
          <w:rStyle w:val="28"/>
          <w:rFonts w:hint="eastAsia"/>
          <w:color w:val="auto"/>
          <w:sz w:val="28"/>
          <w:szCs w:val="28"/>
          <w:u w:val="none"/>
        </w:rPr>
        <w:t>草原合理利用工程</w:t>
      </w:r>
      <w:bookmarkEnd w:id="86"/>
    </w:p>
    <w:p w14:paraId="423BBF7C">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促进草原碳汇能力提升</w:t>
      </w:r>
    </w:p>
    <w:p w14:paraId="206259C5">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草原是世界上植被分布最广的生态系统，与森林一样，草原也具有强大碳汇功能，在应对全球气候变化中发挥着重要作用，应给予高度重视。针对当前昌都市部分处于平均碳密度之下的县，包括左贡县、边坝县、类乌齐县、洛隆县、八宿县和丁青县，但固碳潜力巨大的现状，应以完善昌都市草原保护修复制度、推进草原治理体系和治理能力现代化为主线，加强全市草原保护管理，推进草原生态修复，促进草原合理利用。</w:t>
      </w:r>
    </w:p>
    <w:p w14:paraId="5EFD5017">
      <w:pPr>
        <w:spacing w:line="360" w:lineRule="auto"/>
        <w:ind w:firstLine="480" w:firstLineChars="200"/>
        <w:rPr>
          <w:rFonts w:eastAsia="宋体"/>
          <w:bCs/>
          <w:kern w:val="44"/>
          <w:szCs w:val="44"/>
        </w:rPr>
      </w:pPr>
      <w:r>
        <w:rPr>
          <w:rFonts w:ascii="Times New Roman" w:hAnsi="Times New Roman" w:eastAsia="宋体" w:cs="Times New Roman"/>
          <w:sz w:val="24"/>
          <w:szCs w:val="24"/>
        </w:rPr>
        <w:t>根据《昌都市草地碳储量调查与计量》中的</w:t>
      </w:r>
      <w:r>
        <w:rPr>
          <w:rFonts w:hint="eastAsia" w:ascii="Times New Roman" w:hAnsi="Times New Roman" w:eastAsia="宋体" w:cs="Times New Roman"/>
          <w:sz w:val="24"/>
          <w:szCs w:val="24"/>
        </w:rPr>
        <w:t>“</w:t>
      </w:r>
      <w:r>
        <w:rPr>
          <w:rFonts w:ascii="Times New Roman" w:hAnsi="Times New Roman" w:eastAsia="宋体" w:cs="Times New Roman"/>
          <w:sz w:val="24"/>
          <w:szCs w:val="24"/>
        </w:rPr>
        <w:t>10.3.3草原修复工程增汇潜力</w:t>
      </w:r>
      <w:r>
        <w:rPr>
          <w:rFonts w:hint="eastAsia" w:ascii="Times New Roman" w:hAnsi="Times New Roman" w:eastAsia="宋体" w:cs="Times New Roman"/>
          <w:sz w:val="24"/>
          <w:szCs w:val="24"/>
        </w:rPr>
        <w:t>”，基于自然的解决方案，即通过保护和修复生态系统并实施可持续管理，是增加昌都草原碳汇功能的有效途径。</w:t>
      </w:r>
      <w:r>
        <w:rPr>
          <w:rFonts w:ascii="Times New Roman" w:hAnsi="Times New Roman" w:eastAsia="宋体" w:cs="Times New Roman"/>
          <w:sz w:val="24"/>
          <w:szCs w:val="24"/>
        </w:rPr>
        <w:t>经分析预测，下一步草原修复潜力取围封草场、降低牧压、人工种草三类工程年均实施面积分别为39600、69000、25400 hm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。到2030年，可纳入的交易市场包括CCER、VCS等，全市草原工程增汇潜力为69.63万tCO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e，到2060年，增汇潜力为368.05万tCO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e。</w:t>
      </w:r>
      <w:r>
        <w:rPr>
          <w:rFonts w:hint="eastAsia" w:ascii="Times New Roman" w:hAnsi="Times New Roman" w:eastAsia="宋体" w:cs="Times New Roman"/>
          <w:sz w:val="24"/>
          <w:szCs w:val="24"/>
        </w:rPr>
        <w:t>草原生态保护修复利用可以有效提升碳汇能力，能够维持稳定的碳汇供应，助力自治区实现碳达峰碳中和。</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3BCEB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1D98F95D">
            <w:pPr>
              <w:rPr>
                <w:rFonts w:ascii="Times New Roman" w:hAnsi="Times New Roman" w:eastAsia="宋体" w:cs="Times New Roman"/>
                <w:bCs/>
                <w:kern w:val="44"/>
                <w:szCs w:val="44"/>
              </w:rPr>
            </w:pPr>
            <w:r>
              <w:rPr>
                <w:rFonts w:ascii="Times New Roman" w:hAnsi="Times New Roman" w:eastAsia="宋体" w:cs="Times New Roman"/>
                <w:b/>
                <w:kern w:val="44"/>
                <w:sz w:val="24"/>
                <w:szCs w:val="24"/>
              </w:rPr>
              <w:t>专栏5-</w:t>
            </w:r>
            <w:r>
              <w:rPr>
                <w:rFonts w:hint="eastAsia" w:ascii="Times New Roman" w:hAnsi="Times New Roman" w:eastAsia="宋体" w:cs="Times New Roman"/>
                <w:b/>
                <w:kern w:val="44"/>
                <w:sz w:val="24"/>
                <w:szCs w:val="24"/>
              </w:rPr>
              <w:t xml:space="preserve">6 </w:t>
            </w:r>
            <w:r>
              <w:rPr>
                <w:rFonts w:ascii="Times New Roman" w:hAnsi="Times New Roman" w:eastAsia="宋体" w:cs="Times New Roman"/>
                <w:b/>
                <w:kern w:val="44"/>
                <w:sz w:val="24"/>
                <w:szCs w:val="24"/>
              </w:rPr>
              <w:t>促进草原碳汇能力提升工程重点项目</w:t>
            </w:r>
          </w:p>
        </w:tc>
      </w:tr>
      <w:tr w14:paraId="13CEA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20C943AC">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1.草地碳汇资源开发潜力调查并建立健全草地碳汇资源数据库</w:t>
            </w:r>
          </w:p>
          <w:p w14:paraId="22750A50">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开展昌都市草地碳汇资源开发潜力调查，基本摸清人工造林碳汇开发潜力规模与分布现状，形成昌都市草地碳汇项目资源可开发清单，逐步建立草地碳汇项目储备库，加强动态更新管理，指导草地碳汇项目实施落地。县级林草主管部门跟踪查询并逐级上报草地碳汇项目开发情况，及时防范和处置开发风险。以国土“三调”数据为底版，对接草地资源“一张图”，结合实地调查结果，建立草地碳汇资源数据库。</w:t>
            </w:r>
          </w:p>
          <w:p w14:paraId="557FFBC8">
            <w:pPr>
              <w:pStyle w:val="39"/>
              <w:spacing w:line="360" w:lineRule="auto"/>
              <w:ind w:firstLine="480" w:firstLineChars="200"/>
              <w:rPr>
                <w:rStyle w:val="27"/>
                <w:rFonts w:ascii="Times New Roman" w:hAnsi="Times New Roman" w:eastAsia="宋体" w:cs="Times New Roman"/>
                <w:b w:val="0"/>
                <w:bCs/>
                <w:szCs w:val="24"/>
                <w:shd w:val="clear" w:color="auto" w:fill="FFFFFF"/>
              </w:rPr>
            </w:pPr>
            <w:r>
              <w:rPr>
                <w:rStyle w:val="27"/>
                <w:rFonts w:hint="eastAsia" w:ascii="Times New Roman" w:hAnsi="Times New Roman" w:eastAsia="宋体" w:cs="Times New Roman"/>
                <w:b w:val="0"/>
                <w:bCs/>
                <w:szCs w:val="24"/>
                <w:shd w:val="clear" w:color="auto" w:fill="FFFFFF"/>
              </w:rPr>
              <w:t>2.提升林草碳汇工作基础能力</w:t>
            </w:r>
          </w:p>
          <w:p w14:paraId="5201218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开展草地碳汇功能评估及固碳增汇模式研究。评估草地土壤和植被碳库及生态系统碳汇功能历史变化趋势，并模拟预测至2030年昌都市草地碳储量和碳汇功能提升潜力。调查昌都市典型草地生态保护修复项目增汇成效，评估不同管理模式对草地碳汇功能的提升效应，总结提出符合昌都特点的草地固碳增汇模式，为实现双碳目标，提供“昌都经验”和“昌都方案”。</w:t>
            </w:r>
          </w:p>
          <w:p w14:paraId="2AE8B53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3、草原碳汇增汇示范基地建设项目</w:t>
            </w:r>
          </w:p>
          <w:p w14:paraId="2F9781F9">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持续推进草原保护修复，提高草原生态系统碳汇增量。加强草原保护，实施草原生态保护修复工程，提升草原生态系统质量和功能。</w:t>
            </w:r>
          </w:p>
          <w:p w14:paraId="5776E1C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探索建立草地农业系统分区模式，加强放牧草地的合理利用与管理，加大优质栽培牧草的种植，调整家畜生产结构，降低单位畜产品碳排放，建立增汇试验示范基地。本规划在丁青县、江达县的牧区实施示范基地的建设。</w:t>
            </w:r>
          </w:p>
          <w:p w14:paraId="0266C24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4、加快草原碳汇计量监测体系、碳汇专业人才队伍建设</w:t>
            </w:r>
          </w:p>
          <w:p w14:paraId="1C9F9C6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遵循国际国内通用标准，加快碳汇计量监测体系建设，摸清碳汇资源底数，为“碳汇+”机制的落实提供基础依据。</w:t>
            </w:r>
          </w:p>
          <w:p w14:paraId="56E1BC9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建立“草原大碳库”概念，加强昌都市以及11县（区）林业和草原局管理队伍建设，进一步整合加强、稳定壮大基层草原管理和技术推广队伍，提升监督管理和公共服务能力等。</w:t>
            </w:r>
          </w:p>
          <w:p w14:paraId="18D9575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5、探索草原碳汇交易机制</w:t>
            </w:r>
          </w:p>
          <w:p w14:paraId="1048B499">
            <w:pPr>
              <w:spacing w:line="360" w:lineRule="auto"/>
              <w:ind w:firstLine="480" w:firstLineChars="200"/>
              <w:rPr>
                <w:rFonts w:ascii="Times New Roman" w:hAnsi="Times New Roman" w:eastAsia="方正楷体_GBK" w:cs="Times New Roman"/>
                <w:sz w:val="24"/>
              </w:rPr>
            </w:pPr>
            <w:r>
              <w:rPr>
                <w:rStyle w:val="27"/>
                <w:rFonts w:hint="eastAsia" w:ascii="Times New Roman" w:hAnsi="Times New Roman" w:eastAsia="宋体" w:cs="Times New Roman"/>
                <w:b w:val="0"/>
                <w:bCs/>
                <w:sz w:val="24"/>
                <w:szCs w:val="24"/>
                <w:shd w:val="clear" w:color="auto" w:fill="FFFFFF"/>
              </w:rPr>
              <w:t>探索有效的发展模式及符合昌都草地性质的碳汇交易机制，强化林草行业主管部门在碳汇自愿交易市场建设中的主体作用。通过设计草原碳汇产品，发挥市场机制作用，建立草原碳汇交易生态补偿机制，积极探索“碳汇+”等生态产品落地，促进地方经济的发展和草地保护。依托国家级交易中心，搭建草原碳汇项目自愿交易系统和平台，推进全民参与碳普惠，创新发展碳汇金融产品。以昌都市“十四五”期间人工种草面积为基础，选择人工种草区域建立草原碳汇试点项目进行碳交易，面积约80万亩。</w:t>
            </w:r>
          </w:p>
        </w:tc>
      </w:tr>
    </w:tbl>
    <w:p w14:paraId="6807CF8E">
      <w:pPr>
        <w:rPr>
          <w:rFonts w:eastAsia="宋体"/>
          <w:bCs/>
          <w:kern w:val="44"/>
          <w:szCs w:val="44"/>
        </w:rPr>
      </w:pPr>
    </w:p>
    <w:p w14:paraId="4761F77D">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发展“牧光互补”光伏发电产业</w:t>
      </w:r>
    </w:p>
    <w:p w14:paraId="4E694C16">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充分利用地区风光电能的资源优势和国家可再生能源示范区的政策优势，积极推动光伏发电项目使用草原鼓励采用“牧光互补”模式。用地单位要根据当地水热条件和植被状况，科学编制光伏板下草原生态修复方案，确定光伏板下生态修复和管护措施。各级林草主管部门要加强对用地单位开展光伏板下生态修复的技术指导，按照“以水定绿，采用乡土草种，宜草则草”的方式开展生态修复，确保生态修复科学合理。</w:t>
      </w:r>
    </w:p>
    <w:p w14:paraId="05DB6ADC">
      <w:pPr>
        <w:spacing w:line="360" w:lineRule="auto"/>
        <w:ind w:firstLine="480" w:firstLineChars="200"/>
        <w:rPr>
          <w:rStyle w:val="27"/>
          <w:rFonts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开展光伏项目生态适应性评价，支持和规范光伏发电产业使用草原，发挥“牧光互补”模式在治理沙化、退化、盐碱化草原中的积极作用，推动光伏发电产业与退化草原生态修复协同发展。新建、扩建光伏发电项目禁止使用基本草原。使用基本草原以外的草原，昌都市林草主管部门应科学评估本地区草原资源与生态状况、相应建设模式和建设要求，统筹做好与自然资源、发展改革、能源等部门相关规划的衔接，合理安排光伏发电项目新增用地规模、布局和开发时序。</w:t>
      </w:r>
    </w:p>
    <w:p w14:paraId="034C6107">
      <w:pPr>
        <w:spacing w:line="360" w:lineRule="auto"/>
        <w:ind w:firstLine="480" w:firstLineChars="200"/>
        <w:rPr>
          <w:rFonts w:eastAsia="宋体"/>
          <w:bCs/>
          <w:kern w:val="44"/>
          <w:sz w:val="24"/>
          <w:szCs w:val="24"/>
        </w:rPr>
      </w:pPr>
      <w:r>
        <w:rPr>
          <w:rStyle w:val="27"/>
          <w:rFonts w:hint="eastAsia" w:ascii="Times New Roman" w:hAnsi="Times New Roman"/>
          <w:b w:val="0"/>
          <w:bCs/>
          <w:sz w:val="24"/>
          <w:szCs w:val="24"/>
          <w:shd w:val="clear" w:color="auto" w:fill="FFFFFF"/>
        </w:rPr>
        <w:t>另外，探索鼓励社会资本参与“牧光互补”项目生态修复，提升修复专业性和科学性，拓宽修复渠道。</w:t>
      </w:r>
      <w:r>
        <w:rPr>
          <w:rFonts w:hint="eastAsia" w:eastAsia="宋体"/>
          <w:bCs/>
          <w:kern w:val="44"/>
          <w:sz w:val="24"/>
          <w:szCs w:val="24"/>
        </w:rPr>
        <w:t>探索光伏草业新路径，推进“牧光互补”试点建设，加强退化草原修复，提升草原固碳能力，提高草原碳汇增量。</w:t>
      </w:r>
    </w:p>
    <w:p w14:paraId="776B5D55">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冬虫夏草产业</w:t>
      </w:r>
    </w:p>
    <w:p w14:paraId="3644EAD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冬虫夏草是昌都市特色生物资源和重要生态产业，兼具生态、经济与社会价值。冬虫夏草产业科学、绿色、可持续发展，将助力乡村振兴和农牧民增收。</w:t>
      </w:r>
    </w:p>
    <w:p w14:paraId="13E89441">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（一）冬虫夏草资源普查、评估与监测</w:t>
      </w:r>
    </w:p>
    <w:p w14:paraId="32BEBDC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昌都市作为西藏冬虫夏草核心产区之一，其资源可持续利用对生态保护、牧民增收及区域经济发展至关重要。受气候变化、过度采挖等因素影响，建立科学的资源评估与监测体系势在必行。</w:t>
      </w:r>
    </w:p>
    <w:p w14:paraId="0F7DA87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（1）资源调查评估：</w:t>
      </w:r>
    </w:p>
    <w:p w14:paraId="06F8415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利用遥感（RS）与地理信息系统（GIS），结合实地验证，绘制虫草适宜生境分布图；采用样方抽样法，在典型生境设置固定样地，统计虫草密度、生物量，估算区域蕴藏量；分析虫草遗传多样性、寄主昆虫（蝙蝠蛾幼虫）种群动态，评估资源再生潜力。监测生长周期内的温湿度、降水、积雪覆盖、土壤理化性质等；分析伴生植物群落、土壤微生物组成，揭示共生关系；量化采挖强度、放牧活动、基础设施建设等影响因素。根据资源调查结果，综合生态阈值、社会需求，确定可持续采集强度，推行“分区轮采、定额管理”。建立资源衰退预警模型，当虫草密度低于临界值或生境退化时，触发限采、禁采措施。耦合气候变化情景与种群动态模型，预测未来资源演变，为适应性管理提供依据。</w:t>
      </w:r>
    </w:p>
    <w:p w14:paraId="551B9CAA">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形成昌都市冬虫夏草资源</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一张图</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数据库，每</w:t>
      </w:r>
      <w:r>
        <w:rPr>
          <w:rStyle w:val="27"/>
          <w:rFonts w:hint="eastAsia" w:ascii="Times New Roman" w:hAnsi="Times New Roman" w:eastAsia="宋体" w:cs="Times New Roman"/>
          <w:b w:val="0"/>
          <w:bCs/>
          <w:sz w:val="24"/>
          <w:szCs w:val="24"/>
          <w:shd w:val="clear" w:color="auto" w:fill="FFFFFF"/>
        </w:rPr>
        <w:t>10</w:t>
      </w:r>
      <w:r>
        <w:rPr>
          <w:rStyle w:val="27"/>
          <w:rFonts w:ascii="Times New Roman" w:hAnsi="Times New Roman" w:eastAsia="宋体" w:cs="Times New Roman"/>
          <w:b w:val="0"/>
          <w:bCs/>
          <w:sz w:val="24"/>
          <w:szCs w:val="24"/>
          <w:shd w:val="clear" w:color="auto" w:fill="FFFFFF"/>
        </w:rPr>
        <w:t>年</w:t>
      </w:r>
      <w:r>
        <w:rPr>
          <w:rStyle w:val="27"/>
          <w:rFonts w:hint="eastAsia" w:ascii="Times New Roman" w:hAnsi="Times New Roman" w:eastAsia="宋体" w:cs="Times New Roman"/>
          <w:b w:val="0"/>
          <w:bCs/>
          <w:sz w:val="24"/>
          <w:szCs w:val="24"/>
          <w:shd w:val="clear" w:color="auto" w:fill="FFFFFF"/>
        </w:rPr>
        <w:t>开展一次冬虫夏草</w:t>
      </w:r>
      <w:r>
        <w:rPr>
          <w:rStyle w:val="27"/>
          <w:rFonts w:ascii="Times New Roman" w:hAnsi="Times New Roman" w:eastAsia="宋体" w:cs="Times New Roman"/>
          <w:b w:val="0"/>
          <w:bCs/>
          <w:sz w:val="24"/>
          <w:szCs w:val="24"/>
          <w:shd w:val="clear" w:color="auto" w:fill="FFFFFF"/>
        </w:rPr>
        <w:t>资源普查。</w:t>
      </w:r>
    </w:p>
    <w:p w14:paraId="672D7859">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（2）动态监测：</w:t>
      </w:r>
    </w:p>
    <w:p w14:paraId="7C27294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天空地</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一体化监测网络</w:t>
      </w:r>
    </w:p>
    <w:p w14:paraId="73626FB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卫星遥感：利用多光谱、高分辨率影像，反演植被指数（如NDVI）、地表温度，识别虫草生境变化。</w:t>
      </w:r>
    </w:p>
    <w:p w14:paraId="4A4A9269">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无人机巡护：在关键季节对重点区域进行航拍，监测采挖痕迹、植被恢复状况。</w:t>
      </w:r>
    </w:p>
    <w:p w14:paraId="017DA79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地面监测站：布设气象传感器、土壤多参数传感器（Hydraprobes），实时采集微环境数据；设置永久样方，每年5-7月开展虫草出土数量、尺寸、发育阶段等普查。</w:t>
      </w:r>
    </w:p>
    <w:p w14:paraId="4D781FCB">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2）社区参与式监测：</w:t>
      </w:r>
    </w:p>
    <w:p w14:paraId="0F63573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培训当地牧民作为</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生态管护员</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，记录虫草采集量、种群变化，纳入统一数据库。</w:t>
      </w:r>
    </w:p>
    <w:p w14:paraId="1174421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结合传统知识，识别资源衰退预警信号（如虫草个体变小、分布碎片化）。</w:t>
      </w:r>
    </w:p>
    <w:p w14:paraId="1A177C2F">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（二）冬虫夏草资源可持续利用</w:t>
      </w:r>
    </w:p>
    <w:p w14:paraId="72429A3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以</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生态优先、科学管控、社区受益、长期可持续</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为原则，将冬虫夏草资源作为高原生态-经济-社会复合系统进行综合管理。</w:t>
      </w:r>
    </w:p>
    <w:p w14:paraId="5B4EF5A5">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（1）可持续采挖</w:t>
      </w:r>
    </w:p>
    <w:p w14:paraId="136DC112">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依据年度资源评估数据，确定各县（区）最大可持续采集量，实行</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一人一证、按证定额</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采集许可。强制推行</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挖填回土法</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，采挖后立即回填草皮，减少水土流失。设立</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留种区</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每平方米保留1-2根虫草不采，保障孢子扩散。采用社区共管机制，牧民合作社为主导，以村为单位组建采集合作社，统一培训、分配配额、监督采挖行为。合作社成员兼任生态管护员，分片区监督违规采挖、火灾隐患等。</w:t>
      </w:r>
    </w:p>
    <w:p w14:paraId="069C7A4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（2）资源增值化利用</w:t>
      </w:r>
    </w:p>
    <w:p w14:paraId="3ADFBFD5">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与科研机构合作开发虫草提取物、胶囊等深加工产品。利用残次品生产提取物或粉剂，利用虫草提取物的抗氧化、抗衰老、滋养修复特性，开发护肤品、专门的营养补充剂等，提升资源利用率。</w:t>
      </w:r>
    </w:p>
    <w:p w14:paraId="14113446">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（3）实行质量追溯制度</w:t>
      </w:r>
    </w:p>
    <w:p w14:paraId="49FB653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建立冬虫夏草的质量追溯体系，为每件产品赋予二维码，追溯采集地点、采集时间、采集人信息，以便在出现质量问题时能够快速追溯到源头，查明责任。</w:t>
      </w:r>
    </w:p>
    <w:p w14:paraId="59D727CF">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综合以上，昌都市以冬虫夏草可持续采挖为基础，以质量追溯制度为保障，以资源增值化利用为路径，最终打造“昌都虫草”地理标志品牌。</w:t>
      </w:r>
    </w:p>
    <w:p w14:paraId="69A13D83">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（三）政策法规保障与能力建设</w:t>
      </w:r>
    </w:p>
    <w:p w14:paraId="36F2741C">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议昌都市人民政府制定《昌都市冬虫夏草资源保护管理条例》，明确采集许可、市场监管、生态补偿机制、处罚细则等。建立“行政监管+社区监督+无人机巡查”三位一体监察体系。定期培训管理人员与牧民，提升科学管护意识；推广“采集留种”“土壤回填”等生态采挖技术。</w:t>
      </w:r>
    </w:p>
    <w:p w14:paraId="2ADF3EF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此外，发展虫草产区生态旅游、藏药材种植等替代产业，降低对单一资源的依赖。培训牧民成为生态导赏员、监测员，拓宽就业渠道。</w:t>
      </w:r>
    </w:p>
    <w:p w14:paraId="7B96FF0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综上所述，强化生态保护与采挖管控，明确采挖时间、区域和方式，避免过度采挖对生态环境造成破坏。大力发展昌都市冬虫夏草区域特色经济，如冬虫夏草的精深加工、保健品研发、采集体验等，提高资源的附加值，拓宽农牧民的增收渠道，实现经济效益、社会效益和生态效益的有机统一，推动冬虫夏草资源的可持续利用和地方经济发展。</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18BC4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3A17BDD6">
            <w:pPr>
              <w:jc w:val="left"/>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sz w:val="24"/>
                <w:szCs w:val="24"/>
                <w:shd w:val="clear" w:color="auto" w:fill="FFFFFF"/>
              </w:rPr>
              <w:t>专栏5-7 冬虫夏草产业重点工程</w:t>
            </w:r>
          </w:p>
        </w:tc>
      </w:tr>
      <w:tr w14:paraId="1B1C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1E851C5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1.加强冬虫夏草资源普查和保护管理</w:t>
            </w:r>
          </w:p>
          <w:p w14:paraId="0382ABB1">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明确采挖禁止事项，加大对违法采挖行为的处罚力度。建立健全冬虫夏草资源的普查技术体系和监测评估体系，规范冬虫夏草采集工作，为科学管理提供依据，实现资源可持续利用。加强执法队伍建设，提高执法人员的专业水平和执法能力，鼓励公众对违法采挖、非法交易等行为进行举报，有效保护冬虫夏草资源。形成昌都市冬虫夏草资源</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一张图</w:t>
            </w:r>
            <w:r>
              <w:rPr>
                <w:rStyle w:val="27"/>
                <w:rFonts w:hint="eastAsia" w:ascii="Times New Roman" w:hAnsi="Times New Roman" w:eastAsia="宋体" w:cs="Times New Roman"/>
                <w:b w:val="0"/>
                <w:bCs/>
                <w:sz w:val="24"/>
                <w:szCs w:val="24"/>
                <w:shd w:val="clear" w:color="auto" w:fill="FFFFFF"/>
              </w:rPr>
              <w:t>”</w:t>
            </w:r>
            <w:r>
              <w:rPr>
                <w:rStyle w:val="27"/>
                <w:rFonts w:ascii="Times New Roman" w:hAnsi="Times New Roman" w:eastAsia="宋体" w:cs="Times New Roman"/>
                <w:b w:val="0"/>
                <w:bCs/>
                <w:sz w:val="24"/>
                <w:szCs w:val="24"/>
                <w:shd w:val="clear" w:color="auto" w:fill="FFFFFF"/>
              </w:rPr>
              <w:t>数据库，每</w:t>
            </w:r>
            <w:r>
              <w:rPr>
                <w:rStyle w:val="27"/>
                <w:rFonts w:hint="eastAsia" w:ascii="Times New Roman" w:hAnsi="Times New Roman" w:eastAsia="宋体" w:cs="Times New Roman"/>
                <w:b w:val="0"/>
                <w:bCs/>
                <w:sz w:val="24"/>
                <w:szCs w:val="24"/>
                <w:shd w:val="clear" w:color="auto" w:fill="FFFFFF"/>
                <w:lang w:val="en-US" w:eastAsia="zh-CN"/>
              </w:rPr>
              <w:t>10</w:t>
            </w:r>
            <w:r>
              <w:rPr>
                <w:rStyle w:val="27"/>
                <w:rFonts w:ascii="Times New Roman" w:hAnsi="Times New Roman" w:eastAsia="宋体" w:cs="Times New Roman"/>
                <w:b w:val="0"/>
                <w:bCs/>
                <w:sz w:val="24"/>
                <w:szCs w:val="24"/>
                <w:shd w:val="clear" w:color="auto" w:fill="FFFFFF"/>
              </w:rPr>
              <w:t>年更新资源普查评估报告。</w:t>
            </w:r>
          </w:p>
          <w:p w14:paraId="6141A30D">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2.</w:t>
            </w:r>
            <w:r>
              <w:rPr>
                <w:rStyle w:val="27"/>
                <w:rFonts w:hint="eastAsia" w:ascii="Times New Roman" w:hAnsi="Times New Roman" w:eastAsia="宋体" w:cs="Times New Roman"/>
                <w:b w:val="0"/>
                <w:bCs/>
                <w:sz w:val="24"/>
                <w:szCs w:val="24"/>
                <w:shd w:val="clear" w:color="auto" w:fill="FFFFFF"/>
              </w:rPr>
              <w:t>加强</w:t>
            </w:r>
            <w:r>
              <w:rPr>
                <w:rStyle w:val="27"/>
                <w:rFonts w:ascii="Times New Roman" w:hAnsi="Times New Roman" w:eastAsia="宋体" w:cs="Times New Roman"/>
                <w:b w:val="0"/>
                <w:bCs/>
                <w:sz w:val="24"/>
                <w:szCs w:val="24"/>
                <w:shd w:val="clear" w:color="auto" w:fill="FFFFFF"/>
              </w:rPr>
              <w:t>冬虫夏草资源可持续利用</w:t>
            </w:r>
          </w:p>
          <w:p w14:paraId="43FABDE4">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议昌都市高校和科研院所聚焦多方向深入开展冬虫夏草品质与成分研究，明晰功效物质基础，提升产品质量标准。产学研联合攻关，深挖药用、保健等价值，开发多元产品，延伸产业链，提高产业核心竞争力与经济效益，推动冬虫夏草产业可持续发展。</w:t>
            </w:r>
          </w:p>
          <w:p w14:paraId="6B91F96E">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3.实行冬虫夏草质量溯源制度</w:t>
            </w:r>
          </w:p>
          <w:p w14:paraId="53EAB416">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ascii="Times New Roman" w:hAnsi="Times New Roman" w:eastAsia="宋体" w:cs="Times New Roman"/>
                <w:b w:val="0"/>
                <w:bCs/>
                <w:sz w:val="24"/>
                <w:szCs w:val="24"/>
                <w:shd w:val="clear" w:color="auto" w:fill="FFFFFF"/>
              </w:rPr>
              <w:t>建立冬虫夏草的质量追溯体系，为每件产品赋予二维码，追溯采集地点、时间、采集人信息，以便在出现质量问题时能够快速追溯到源头，查明责任。</w:t>
            </w:r>
          </w:p>
          <w:p w14:paraId="4BD59858">
            <w:pPr>
              <w:spacing w:line="360" w:lineRule="auto"/>
              <w:ind w:firstLine="480" w:firstLineChars="200"/>
              <w:rPr>
                <w:rStyle w:val="27"/>
                <w:rFonts w:ascii="Times New Roman" w:hAnsi="Times New Roman" w:eastAsia="宋体" w:cs="Times New Roman"/>
                <w:b w:val="0"/>
                <w:bCs/>
                <w:sz w:val="24"/>
                <w:szCs w:val="24"/>
                <w:shd w:val="clear" w:color="auto" w:fill="FFFFFF"/>
              </w:rPr>
            </w:pPr>
            <w:r>
              <w:rPr>
                <w:rStyle w:val="27"/>
                <w:rFonts w:hint="eastAsia" w:ascii="Times New Roman" w:hAnsi="Times New Roman" w:eastAsia="宋体" w:cs="Times New Roman"/>
                <w:b w:val="0"/>
                <w:bCs/>
                <w:sz w:val="24"/>
                <w:szCs w:val="24"/>
                <w:shd w:val="clear" w:color="auto" w:fill="FFFFFF"/>
              </w:rPr>
              <w:t>昌都市以冬虫夏草可持续采挖为基础，以质量追溯制度为保障，以资源增值化利用为路径，最终打造“昌都虫草”地理标志品牌。</w:t>
            </w:r>
          </w:p>
        </w:tc>
      </w:tr>
    </w:tbl>
    <w:p w14:paraId="07354393">
      <w:pPr>
        <w:rPr>
          <w:rFonts w:eastAsia="宋体"/>
          <w:bCs/>
          <w:kern w:val="44"/>
          <w:szCs w:val="44"/>
        </w:rPr>
      </w:pPr>
    </w:p>
    <w:p w14:paraId="471FBC52">
      <w:pPr>
        <w:pStyle w:val="5"/>
        <w:numPr>
          <w:ilvl w:val="3"/>
          <w:numId w:val="2"/>
        </w:numPr>
        <w:spacing w:before="120" w:after="120" w:line="360" w:lineRule="auto"/>
        <w:ind w:left="862" w:hanging="862"/>
        <w:rPr>
          <w:rFonts w:ascii="Times New Roman" w:hAnsi="Times New Roman" w:eastAsia="宋体"/>
          <w:sz w:val="24"/>
          <w:szCs w:val="24"/>
        </w:rPr>
      </w:pPr>
      <w:r>
        <w:rPr>
          <w:rFonts w:hint="eastAsia" w:ascii="Times New Roman" w:hAnsi="Times New Roman" w:eastAsia="宋体"/>
          <w:sz w:val="24"/>
          <w:szCs w:val="24"/>
        </w:rPr>
        <w:t>促进草原生态旅游产业</w:t>
      </w:r>
    </w:p>
    <w:p w14:paraId="64162D5F">
      <w:pPr>
        <w:widowControl/>
        <w:spacing w:line="360" w:lineRule="auto"/>
        <w:ind w:firstLine="480" w:firstLineChars="200"/>
        <w:rPr>
          <w:rStyle w:val="27"/>
          <w:rFonts w:ascii="宋体" w:hAnsi="宋体" w:eastAsia="宋体" w:cs="宋体"/>
          <w:b w:val="0"/>
          <w:bCs/>
          <w:kern w:val="0"/>
          <w:sz w:val="24"/>
          <w:szCs w:val="24"/>
        </w:rPr>
      </w:pPr>
      <w:r>
        <w:rPr>
          <w:rStyle w:val="27"/>
          <w:rFonts w:hint="eastAsia" w:ascii="宋体" w:hAnsi="宋体" w:eastAsia="宋体" w:cs="宋体"/>
          <w:b w:val="0"/>
          <w:bCs/>
          <w:kern w:val="0"/>
          <w:sz w:val="24"/>
          <w:szCs w:val="24"/>
        </w:rPr>
        <w:t>贯彻落实习近平生态文明思想，坚持生态优先、文化引领，适度发展草原生态旅游，充分发挥草原地区的自然生态、民族民俗等优势，加强旅游基础建设和公共服务体系建设，发展草原特色旅游，把文化内涵融入旅游业发展全过程，通过发展旅游业促进人与自然和谐共生，实现生态保护、绿色发展、民生改善相统一。在充分考虑草原生态承载力、自然修复力，推进草原生态旅游可持续发展，推出一批草原生态旅游产品和线路，加强草原生态保护宣传教育，让游客在感悟大自然神奇魅力的同时，自觉增强草原生态保护意识，形成绿色消费和健康生活方式。同时积极运用技术手段做好预约调控、环境监测、流量疏导，将旅游活动对草原的影响降到最低。</w:t>
      </w:r>
    </w:p>
    <w:p w14:paraId="364C3C0F">
      <w:pPr>
        <w:widowControl/>
        <w:spacing w:line="360" w:lineRule="auto"/>
        <w:ind w:firstLine="480" w:firstLineChars="200"/>
        <w:rPr>
          <w:rFonts w:ascii="Times New Roman" w:hAnsi="Times New Roman" w:eastAsia="宋体" w:cs="Times New Roman"/>
          <w:sz w:val="24"/>
          <w:szCs w:val="24"/>
          <w:shd w:val="clear" w:color="auto" w:fill="FFFFFF"/>
        </w:rPr>
      </w:pPr>
      <w:r>
        <w:rPr>
          <w:rFonts w:ascii="Times New Roman" w:hAnsi="Times New Roman" w:eastAsia="Segoe UI" w:cs="Times New Roman"/>
          <w:sz w:val="24"/>
          <w:szCs w:val="24"/>
          <w:shd w:val="clear" w:color="auto" w:fill="FFFFFF"/>
        </w:rPr>
        <w:t>结合</w:t>
      </w:r>
      <w:r>
        <w:rPr>
          <w:rFonts w:hint="eastAsia" w:ascii="Times New Roman" w:hAnsi="Times New Roman" w:eastAsia="宋体" w:cs="Times New Roman"/>
          <w:sz w:val="24"/>
          <w:szCs w:val="24"/>
          <w:shd w:val="clear" w:color="auto" w:fill="FFFFFF"/>
        </w:rPr>
        <w:t>“</w:t>
      </w:r>
      <w:r>
        <w:rPr>
          <w:rStyle w:val="27"/>
          <w:rFonts w:ascii="Times New Roman" w:hAnsi="Times New Roman" w:eastAsia="Segoe UI" w:cs="Times New Roman"/>
          <w:b w:val="0"/>
          <w:bCs/>
          <w:sz w:val="24"/>
          <w:szCs w:val="24"/>
          <w:shd w:val="clear" w:color="auto" w:fill="FFFFFF"/>
        </w:rPr>
        <w:t>生态保护+文化体验+高端服务</w:t>
      </w:r>
      <w:r>
        <w:rPr>
          <w:rFonts w:hint="eastAsia" w:ascii="Times New Roman" w:hAnsi="Times New Roman" w:eastAsia="宋体" w:cs="Times New Roman"/>
          <w:sz w:val="24"/>
          <w:szCs w:val="24"/>
          <w:shd w:val="clear" w:color="auto" w:fill="FFFFFF"/>
        </w:rPr>
        <w:t>”</w:t>
      </w:r>
      <w:r>
        <w:rPr>
          <w:rFonts w:ascii="Times New Roman" w:hAnsi="Times New Roman" w:eastAsia="Segoe UI" w:cs="Times New Roman"/>
          <w:bCs/>
          <w:sz w:val="24"/>
          <w:szCs w:val="24"/>
          <w:shd w:val="clear" w:color="auto" w:fill="FFFFFF"/>
        </w:rPr>
        <w:t>理念</w:t>
      </w:r>
      <w:r>
        <w:rPr>
          <w:rFonts w:ascii="Times New Roman" w:hAnsi="Times New Roman" w:eastAsia="Segoe UI" w:cs="Times New Roman"/>
          <w:sz w:val="24"/>
          <w:szCs w:val="24"/>
          <w:shd w:val="clear" w:color="auto" w:fill="FFFFFF"/>
        </w:rPr>
        <w:t>，</w:t>
      </w:r>
      <w:r>
        <w:rPr>
          <w:rFonts w:ascii="Times New Roman" w:hAnsi="Times New Roman" w:eastAsia="宋体" w:cs="Times New Roman"/>
          <w:sz w:val="24"/>
          <w:szCs w:val="24"/>
          <w:shd w:val="clear" w:color="auto" w:fill="FFFFFF"/>
        </w:rPr>
        <w:t>促进草原生态旅游查产业的发展。如，开发草原露营地、草原赛马、草原徒步、草原研学、摄影；与环保组织合作，开展</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草原生态修复实践课</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；承包小型私人草场，提供</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牧场牧民体验</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；冬虫夏草、藏药采挖体验等多元化草原旅游项目，形成</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生态为基、文化为魂、体验为王</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的草原旅游产品体系，实现草原旅游效益与生态保护的良性循环。</w:t>
      </w:r>
    </w:p>
    <w:p w14:paraId="00294087">
      <w:pPr>
        <w:widowControl/>
        <w:spacing w:line="360" w:lineRule="auto"/>
        <w:ind w:firstLine="480" w:firstLineChars="200"/>
        <w:rPr>
          <w:rFonts w:ascii="Times New Roman" w:hAnsi="Times New Roman" w:eastAsia="宋体" w:cs="Times New Roman"/>
          <w:sz w:val="24"/>
          <w:szCs w:val="24"/>
          <w:shd w:val="clear" w:color="auto" w:fill="FFFFFF"/>
        </w:rPr>
      </w:pPr>
      <w:r>
        <w:rPr>
          <w:rFonts w:hint="eastAsia" w:ascii="Times New Roman" w:hAnsi="Times New Roman" w:eastAsia="宋体" w:cs="Times New Roman"/>
          <w:sz w:val="24"/>
          <w:szCs w:val="24"/>
          <w:shd w:val="clear" w:color="auto" w:fill="FFFFFF"/>
        </w:rPr>
        <w:t>此外，针对昌都市高海拔、</w:t>
      </w:r>
      <w:r>
        <w:rPr>
          <w:rFonts w:ascii="Times New Roman" w:hAnsi="Times New Roman" w:eastAsia="宋体" w:cs="Times New Roman"/>
          <w:sz w:val="24"/>
          <w:szCs w:val="24"/>
          <w:shd w:val="clear" w:color="auto" w:fill="FFFFFF"/>
        </w:rPr>
        <w:t>生态脆弱且文旅资源独特的区域</w:t>
      </w:r>
      <w:r>
        <w:rPr>
          <w:rFonts w:hint="eastAsia" w:ascii="Times New Roman" w:hAnsi="Times New Roman" w:eastAsia="宋体" w:cs="Times New Roman"/>
          <w:sz w:val="24"/>
          <w:szCs w:val="24"/>
          <w:shd w:val="clear" w:color="auto" w:fill="FFFFFF"/>
        </w:rPr>
        <w:t>特点，围绕</w:t>
      </w:r>
      <w:r>
        <w:rPr>
          <w:rFonts w:ascii="Times New Roman" w:hAnsi="Times New Roman" w:eastAsia="宋体" w:cs="Times New Roman"/>
          <w:sz w:val="24"/>
          <w:szCs w:val="24"/>
          <w:shd w:val="clear" w:color="auto" w:fill="FFFFFF"/>
        </w:rPr>
        <w:t>构建</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保护—修复—利用—增值</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的闭环机制，以分区管控、技术赋能、产业联动为抓手，通过规划引领、项目化落实、长效监管，推动草原保护修复、草业高质量发展与生态旅游互促共赢</w:t>
      </w:r>
      <w:r>
        <w:rPr>
          <w:rFonts w:hint="eastAsia" w:ascii="Times New Roman" w:hAnsi="Times New Roman" w:eastAsia="宋体" w:cs="Times New Roman"/>
          <w:sz w:val="24"/>
          <w:szCs w:val="24"/>
          <w:shd w:val="clear" w:color="auto" w:fill="FFFFFF"/>
        </w:rPr>
        <w:t>。包括“修复+研学”、“草业+文旅”、“碳汇+旅游”等模式，即以草种原种基地、草种生产基地、修复实验区等为载体，开发“草原修复课堂”、“生态监测体验”等活动；人工草地分区轮牧+游牧文化体验，打造“牧草种植—收货收获—加工—文创”链条；“草原碳汇+生态观光旅游”，</w:t>
      </w:r>
      <w:r>
        <w:rPr>
          <w:rFonts w:ascii="Times New Roman" w:hAnsi="Times New Roman" w:eastAsia="宋体" w:cs="Times New Roman"/>
          <w:sz w:val="24"/>
          <w:szCs w:val="24"/>
          <w:shd w:val="clear" w:color="auto" w:fill="FFFFFF"/>
        </w:rPr>
        <w:t>通过草原生态修复（如禁牧休牧、人工种草）产生可交易的草原碳汇量，同时依托修复后的草原景观开发生态观光产品，吸引游客体验高原草原风光，碳汇收益反哺旅游设施建设</w:t>
      </w:r>
      <w:r>
        <w:rPr>
          <w:rFonts w:hint="eastAsia" w:ascii="Times New Roman" w:hAnsi="Times New Roman" w:eastAsia="宋体" w:cs="Times New Roman"/>
          <w:sz w:val="24"/>
          <w:szCs w:val="24"/>
          <w:shd w:val="clear" w:color="auto" w:fill="FFFFFF"/>
        </w:rPr>
        <w:t>；“牧光互补碳汇+工业旅游模式”，光伏碳汇和草原碳汇双重碳汇量叠加后进行交易，同时</w:t>
      </w:r>
      <w:r>
        <w:rPr>
          <w:rFonts w:ascii="Times New Roman" w:hAnsi="Times New Roman" w:eastAsia="宋体" w:cs="Times New Roman"/>
          <w:sz w:val="24"/>
          <w:szCs w:val="24"/>
          <w:shd w:val="clear" w:color="auto" w:fill="FFFFFF"/>
        </w:rPr>
        <w:t>依托光伏电站的工业景观和牧光互补的独特场景，开发工业旅游产品，打造</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清洁能源+生态养殖</w:t>
      </w:r>
      <w:r>
        <w:rPr>
          <w:rFonts w:hint="eastAsia" w:ascii="Times New Roman" w:hAnsi="Times New Roman" w:eastAsia="宋体" w:cs="Times New Roman"/>
          <w:sz w:val="24"/>
          <w:szCs w:val="24"/>
          <w:shd w:val="clear" w:color="auto" w:fill="FFFFFF"/>
        </w:rPr>
        <w:t>”</w:t>
      </w:r>
      <w:r>
        <w:rPr>
          <w:rFonts w:ascii="Times New Roman" w:hAnsi="Times New Roman" w:eastAsia="宋体" w:cs="Times New Roman"/>
          <w:sz w:val="24"/>
          <w:szCs w:val="24"/>
          <w:shd w:val="clear" w:color="auto" w:fill="FFFFFF"/>
        </w:rPr>
        <w:t>的科普体验目的地。</w:t>
      </w:r>
    </w:p>
    <w:p w14:paraId="3319750E">
      <w:pPr>
        <w:widowControl/>
        <w:spacing w:line="360" w:lineRule="auto"/>
        <w:ind w:firstLine="480" w:firstLineChars="200"/>
        <w:rPr>
          <w:rFonts w:ascii="Times New Roman" w:hAnsi="Times New Roman" w:eastAsia="宋体" w:cs="Times New Roman"/>
          <w:sz w:val="24"/>
          <w:szCs w:val="24"/>
          <w:shd w:val="clear" w:color="auto" w:fill="FFFFFF"/>
        </w:rPr>
      </w:pPr>
      <w:r>
        <w:rPr>
          <w:rFonts w:ascii="Times New Roman" w:hAnsi="Times New Roman" w:eastAsia="宋体" w:cs="Times New Roman"/>
          <w:sz w:val="24"/>
          <w:szCs w:val="24"/>
          <w:shd w:val="clear" w:color="auto" w:fill="FFFFFF"/>
        </w:rPr>
        <w:t>选择</w:t>
      </w:r>
      <w:r>
        <w:rPr>
          <w:rFonts w:hint="eastAsia" w:ascii="Times New Roman" w:hAnsi="Times New Roman" w:eastAsia="宋体" w:cs="Times New Roman"/>
          <w:sz w:val="24"/>
          <w:szCs w:val="24"/>
          <w:shd w:val="clear" w:color="auto" w:fill="FFFFFF"/>
        </w:rPr>
        <w:t>基础较好的</w:t>
      </w:r>
      <w:r>
        <w:rPr>
          <w:rFonts w:ascii="Times New Roman" w:hAnsi="Times New Roman" w:eastAsia="宋体" w:cs="Times New Roman"/>
          <w:sz w:val="24"/>
          <w:szCs w:val="24"/>
          <w:shd w:val="clear" w:color="auto" w:fill="FFFFFF"/>
        </w:rPr>
        <w:t>草原</w:t>
      </w:r>
      <w:r>
        <w:rPr>
          <w:rFonts w:hint="eastAsia" w:ascii="Times New Roman" w:hAnsi="Times New Roman" w:eastAsia="宋体" w:cs="Times New Roman"/>
          <w:sz w:val="24"/>
          <w:szCs w:val="24"/>
          <w:shd w:val="clear" w:color="auto" w:fill="FFFFFF"/>
        </w:rPr>
        <w:t>区、退化草原生态修复区</w:t>
      </w:r>
      <w:r>
        <w:rPr>
          <w:rFonts w:ascii="Times New Roman" w:hAnsi="Times New Roman" w:eastAsia="宋体" w:cs="Times New Roman"/>
          <w:sz w:val="24"/>
          <w:szCs w:val="24"/>
          <w:shd w:val="clear" w:color="auto" w:fill="FFFFFF"/>
        </w:rPr>
        <w:t>打造</w:t>
      </w:r>
      <w:r>
        <w:rPr>
          <w:rFonts w:hint="eastAsia" w:ascii="Times New Roman" w:hAnsi="Times New Roman" w:eastAsia="宋体" w:cs="Times New Roman"/>
          <w:sz w:val="24"/>
          <w:szCs w:val="24"/>
          <w:shd w:val="clear" w:color="auto" w:fill="FFFFFF"/>
        </w:rPr>
        <w:t>1-2个</w:t>
      </w:r>
      <w:r>
        <w:rPr>
          <w:rFonts w:ascii="Times New Roman" w:hAnsi="Times New Roman" w:eastAsia="宋体" w:cs="Times New Roman"/>
          <w:sz w:val="24"/>
          <w:szCs w:val="24"/>
          <w:shd w:val="clear" w:color="auto" w:fill="FFFFFF"/>
        </w:rPr>
        <w:t>示范项目。</w:t>
      </w:r>
    </w:p>
    <w:tbl>
      <w:tblPr>
        <w:tblStyle w:val="25"/>
        <w:tblW w:w="91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7"/>
      </w:tblGrid>
      <w:tr w14:paraId="328C2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9167" w:type="dxa"/>
          </w:tcPr>
          <w:p w14:paraId="0CC728FC">
            <w:pPr>
              <w:rPr>
                <w:rFonts w:ascii="Times New Roman" w:hAnsi="Times New Roman" w:eastAsia="宋体" w:cs="Times New Roman"/>
                <w:bCs/>
                <w:kern w:val="44"/>
                <w:szCs w:val="44"/>
              </w:rPr>
            </w:pPr>
            <w:r>
              <w:rPr>
                <w:rFonts w:ascii="Times New Roman" w:hAnsi="Times New Roman" w:eastAsia="宋体" w:cs="Times New Roman"/>
                <w:b/>
                <w:kern w:val="44"/>
                <w:sz w:val="24"/>
                <w:szCs w:val="24"/>
              </w:rPr>
              <w:t>专栏</w:t>
            </w:r>
            <w:r>
              <w:rPr>
                <w:rFonts w:hint="eastAsia" w:ascii="Times New Roman" w:hAnsi="Times New Roman" w:eastAsia="宋体" w:cs="Times New Roman"/>
                <w:b/>
                <w:kern w:val="44"/>
                <w:sz w:val="24"/>
                <w:szCs w:val="24"/>
              </w:rPr>
              <w:t xml:space="preserve">5-8 </w:t>
            </w:r>
            <w:r>
              <w:rPr>
                <w:rFonts w:ascii="Times New Roman" w:hAnsi="Times New Roman" w:eastAsia="宋体" w:cs="Times New Roman"/>
                <w:b/>
                <w:kern w:val="44"/>
                <w:sz w:val="24"/>
                <w:szCs w:val="24"/>
              </w:rPr>
              <w:t>草原生态旅游重点工程</w:t>
            </w:r>
          </w:p>
        </w:tc>
      </w:tr>
      <w:tr w14:paraId="468A1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7" w:type="dxa"/>
          </w:tcPr>
          <w:p w14:paraId="661F6889">
            <w:pPr>
              <w:widowControl/>
              <w:spacing w:line="360" w:lineRule="auto"/>
              <w:ind w:firstLine="480" w:firstLineChars="200"/>
              <w:rPr>
                <w:rFonts w:ascii="Times New Roman" w:hAnsi="Times New Roman" w:eastAsia="宋体" w:cs="Times New Roman"/>
                <w:bCs/>
                <w:kern w:val="44"/>
                <w:szCs w:val="44"/>
              </w:rPr>
            </w:pPr>
            <w:r>
              <w:rPr>
                <w:rFonts w:ascii="Times New Roman" w:hAnsi="Times New Roman" w:eastAsia="宋体" w:cs="Times New Roman"/>
                <w:bCs/>
                <w:kern w:val="44"/>
                <w:sz w:val="24"/>
                <w:szCs w:val="24"/>
              </w:rPr>
              <w:t>结合</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生态保护+文化体验+高端服务</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理念，促进草原生态旅游查产业的发展。如，开发草原露营地、草原赛马、草原徒步、草原研学、摄影；与环保组织合作，开展</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草原生态修复实践课</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；承包小型私人草场，提供</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牧场牧民体验</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；冬虫夏草、藏药采挖体验等多元化草原旅游项目，形成</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生态为基、文化为魂、体验为王</w:t>
            </w:r>
            <w:r>
              <w:rPr>
                <w:rFonts w:hint="eastAsia" w:ascii="Times New Roman" w:hAnsi="Times New Roman" w:eastAsia="宋体" w:cs="Times New Roman"/>
                <w:bCs/>
                <w:kern w:val="44"/>
                <w:sz w:val="24"/>
                <w:szCs w:val="24"/>
              </w:rPr>
              <w:t>”</w:t>
            </w:r>
            <w:r>
              <w:rPr>
                <w:rFonts w:ascii="Times New Roman" w:hAnsi="Times New Roman" w:eastAsia="宋体" w:cs="Times New Roman"/>
                <w:bCs/>
                <w:kern w:val="44"/>
                <w:sz w:val="24"/>
                <w:szCs w:val="24"/>
              </w:rPr>
              <w:t>的草原旅游产品体系，实现草原旅游效益与生态保护的良性循环。</w:t>
            </w:r>
            <w:r>
              <w:rPr>
                <w:rFonts w:hint="eastAsia" w:ascii="Times New Roman" w:hAnsi="Times New Roman" w:eastAsia="宋体" w:cs="Times New Roman"/>
                <w:bCs/>
                <w:kern w:val="44"/>
                <w:sz w:val="24"/>
                <w:szCs w:val="24"/>
              </w:rPr>
              <w:t>选择基础较好的草原、退化草原生态修复区打造1-2个示范项目。</w:t>
            </w:r>
          </w:p>
        </w:tc>
      </w:tr>
    </w:tbl>
    <w:p w14:paraId="12E44E9F">
      <w:pPr>
        <w:rPr>
          <w:rFonts w:ascii="Segoe UI" w:hAnsi="Segoe UI" w:eastAsia="宋体" w:cs="Segoe UI"/>
          <w:sz w:val="24"/>
          <w:szCs w:val="24"/>
          <w:shd w:val="clear" w:color="auto" w:fill="FFFFFF"/>
        </w:rPr>
      </w:pPr>
      <w:r>
        <w:rPr>
          <w:rFonts w:hint="eastAsia" w:ascii="Segoe UI" w:hAnsi="Segoe UI" w:eastAsia="宋体" w:cs="Segoe UI"/>
          <w:sz w:val="24"/>
          <w:szCs w:val="24"/>
          <w:shd w:val="clear" w:color="auto" w:fill="FFFFFF"/>
        </w:rPr>
        <w:br w:type="page"/>
      </w:r>
    </w:p>
    <w:p w14:paraId="2912CDC3">
      <w:pPr>
        <w:pStyle w:val="2"/>
        <w:numPr>
          <w:ilvl w:val="0"/>
          <w:numId w:val="2"/>
        </w:numPr>
        <w:spacing w:before="156" w:after="156" w:line="360" w:lineRule="auto"/>
        <w:rPr>
          <w:rFonts w:eastAsia="宋体"/>
          <w:bCs/>
          <w:snapToGrid/>
          <w:kern w:val="44"/>
          <w:szCs w:val="44"/>
        </w:rPr>
      </w:pPr>
      <w:bookmarkStart w:id="87" w:name="_Toc26786"/>
      <w:r>
        <w:rPr>
          <w:rFonts w:eastAsia="宋体"/>
          <w:bCs/>
          <w:snapToGrid/>
          <w:kern w:val="44"/>
          <w:szCs w:val="44"/>
        </w:rPr>
        <w:t>支撑保障体系建设</w:t>
      </w:r>
      <w:bookmarkEnd w:id="87"/>
    </w:p>
    <w:p w14:paraId="10DF6C6C">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88" w:name="_Toc13361"/>
      <w:r>
        <w:rPr>
          <w:rStyle w:val="28"/>
          <w:rFonts w:hint="default" w:ascii="Times New Roman"/>
          <w:color w:val="auto"/>
          <w:kern w:val="2"/>
          <w:sz w:val="32"/>
          <w:szCs w:val="32"/>
          <w:u w:val="none"/>
        </w:rPr>
        <w:t>草原监测信息化与监管智能化建设</w:t>
      </w:r>
      <w:bookmarkEnd w:id="88"/>
    </w:p>
    <w:p w14:paraId="22F15BE5">
      <w:pPr>
        <w:pStyle w:val="4"/>
        <w:numPr>
          <w:ilvl w:val="2"/>
          <w:numId w:val="2"/>
        </w:numPr>
        <w:spacing w:before="120" w:after="120" w:line="360" w:lineRule="auto"/>
        <w:rPr>
          <w:rStyle w:val="28"/>
          <w:color w:val="auto"/>
          <w:sz w:val="28"/>
          <w:szCs w:val="28"/>
          <w:u w:val="none"/>
        </w:rPr>
      </w:pPr>
      <w:bookmarkStart w:id="89" w:name="_Toc8764"/>
      <w:r>
        <w:rPr>
          <w:rStyle w:val="28"/>
          <w:rFonts w:hint="eastAsia"/>
          <w:color w:val="auto"/>
          <w:sz w:val="28"/>
          <w:szCs w:val="28"/>
          <w:u w:val="none"/>
        </w:rPr>
        <w:t>草原综合调查监测建设</w:t>
      </w:r>
      <w:bookmarkEnd w:id="89"/>
    </w:p>
    <w:p w14:paraId="386B0D24">
      <w:pPr>
        <w:spacing w:line="360" w:lineRule="auto"/>
        <w:ind w:firstLine="480" w:firstLineChars="200"/>
        <w:rPr>
          <w:rFonts w:ascii="宋体" w:hAnsi="宋体" w:eastAsia="宋体" w:cs="宋体"/>
          <w:sz w:val="24"/>
          <w:szCs w:val="24"/>
        </w:rPr>
      </w:pPr>
      <w:r>
        <w:rPr>
          <w:rFonts w:ascii="宋体" w:hAnsi="宋体" w:eastAsia="宋体" w:cs="宋体"/>
          <w:sz w:val="24"/>
          <w:szCs w:val="24"/>
        </w:rPr>
        <w:t>开展草原综合调查专项行动，全面摸清昌都市草原资源本底状况。依托第三次全国国土调查、草原资源调查等成果，组织开展全域草原资源补充调查与更新，重点调查草原类型、分布范围、面积数量、植被组成、退化程度、土壤质地、水文条件等核心指标，同步调查草原生态系统服务功能（包括水土保持、碳汇、生物多样性保育等）、草业生产现状（包括载畜量、牧草产量、养殖模式等）及草原周边人类活动影响情况。建立昌都市草原资源 “一张图”数据库，明确不同区域草原的生态功能定位和保护修复优先级，为规划实施、政策制定提供精准的基础数据支撑。调查工作</w:t>
      </w:r>
      <w:r>
        <w:rPr>
          <w:rFonts w:hint="eastAsia" w:ascii="宋体" w:hAnsi="宋体" w:eastAsia="宋体" w:cs="宋体"/>
          <w:sz w:val="24"/>
          <w:szCs w:val="24"/>
        </w:rPr>
        <w:t>每十年一次普查，</w:t>
      </w:r>
      <w:r>
        <w:rPr>
          <w:rFonts w:ascii="宋体" w:hAnsi="宋体" w:eastAsia="宋体" w:cs="宋体"/>
          <w:sz w:val="24"/>
          <w:szCs w:val="24"/>
        </w:rPr>
        <w:t>每年选取重点区域进行动态</w:t>
      </w:r>
      <w:r>
        <w:rPr>
          <w:rFonts w:hint="eastAsia" w:ascii="宋体" w:hAnsi="宋体" w:eastAsia="宋体" w:cs="宋体"/>
          <w:sz w:val="24"/>
          <w:szCs w:val="24"/>
        </w:rPr>
        <w:t>监测</w:t>
      </w:r>
      <w:r>
        <w:rPr>
          <w:rFonts w:ascii="宋体" w:hAnsi="宋体" w:eastAsia="宋体" w:cs="宋体"/>
          <w:sz w:val="24"/>
          <w:szCs w:val="24"/>
        </w:rPr>
        <w:t>核查。</w:t>
      </w:r>
    </w:p>
    <w:p w14:paraId="7B3AA2E4">
      <w:pPr>
        <w:pStyle w:val="4"/>
        <w:numPr>
          <w:ilvl w:val="2"/>
          <w:numId w:val="2"/>
        </w:numPr>
        <w:spacing w:before="120" w:after="120" w:line="360" w:lineRule="auto"/>
        <w:rPr>
          <w:rStyle w:val="28"/>
          <w:color w:val="auto"/>
          <w:sz w:val="28"/>
          <w:szCs w:val="28"/>
          <w:u w:val="none"/>
        </w:rPr>
      </w:pPr>
      <w:bookmarkStart w:id="90" w:name="_Toc26596"/>
      <w:r>
        <w:rPr>
          <w:rStyle w:val="28"/>
          <w:rFonts w:hint="eastAsia"/>
          <w:color w:val="auto"/>
          <w:sz w:val="28"/>
          <w:szCs w:val="28"/>
          <w:u w:val="none"/>
        </w:rPr>
        <w:t>“天空地”一体化林草监测预警体系建设</w:t>
      </w:r>
      <w:bookmarkEnd w:id="90"/>
    </w:p>
    <w:p w14:paraId="326E3C2D">
      <w:pPr>
        <w:spacing w:line="360" w:lineRule="auto"/>
        <w:ind w:firstLine="480" w:firstLineChars="200"/>
        <w:rPr>
          <w:rFonts w:ascii="宋体" w:hAnsi="宋体" w:eastAsia="宋体" w:cs="宋体"/>
          <w:sz w:val="24"/>
          <w:szCs w:val="24"/>
        </w:rPr>
      </w:pPr>
      <w:r>
        <w:rPr>
          <w:rFonts w:ascii="宋体" w:hAnsi="宋体" w:eastAsia="宋体" w:cs="宋体"/>
          <w:sz w:val="24"/>
          <w:szCs w:val="24"/>
        </w:rPr>
        <w:t>以“数字草原、智慧监管”为目标，构建覆盖全域、天地一体、动态高效的草原监测信息化体系。</w:t>
      </w:r>
    </w:p>
    <w:p w14:paraId="3D74883B">
      <w:pPr>
        <w:spacing w:line="360" w:lineRule="auto"/>
        <w:ind w:firstLine="480" w:firstLineChars="200"/>
        <w:rPr>
          <w:rFonts w:ascii="宋体" w:hAnsi="宋体" w:eastAsia="宋体" w:cs="宋体"/>
          <w:sz w:val="24"/>
          <w:szCs w:val="24"/>
        </w:rPr>
      </w:pPr>
      <w:r>
        <w:rPr>
          <w:rFonts w:ascii="宋体" w:hAnsi="宋体" w:eastAsia="宋体" w:cs="宋体"/>
          <w:sz w:val="24"/>
          <w:szCs w:val="24"/>
        </w:rPr>
        <w:t>一是完善监测网络布局，整合卫星遥感、无人机巡查、地面监测站点等多元监测手段，在三江流域草原核心保护区、重要放牧场、退化草原修复区等关键区域，增设标准化地面监测站点，配备植被覆盖度测量仪、土壤水分传感器、草原生产力测定设备等专业仪器，实现草原植被状况、土壤墒情、生物多样性、载畜量等核心指标的实时监测。</w:t>
      </w:r>
    </w:p>
    <w:p w14:paraId="1DA867FA">
      <w:pPr>
        <w:spacing w:line="360" w:lineRule="auto"/>
        <w:ind w:firstLine="480" w:firstLineChars="200"/>
        <w:rPr>
          <w:rFonts w:ascii="宋体" w:hAnsi="宋体" w:eastAsia="宋体" w:cs="宋体"/>
          <w:sz w:val="24"/>
          <w:szCs w:val="24"/>
        </w:rPr>
      </w:pPr>
      <w:r>
        <w:rPr>
          <w:rFonts w:ascii="宋体" w:hAnsi="宋体" w:eastAsia="宋体" w:cs="宋体"/>
          <w:sz w:val="24"/>
          <w:szCs w:val="24"/>
        </w:rPr>
        <w:t>二是搭建智能化监管平台，依托昌都市政务数据共享交换平台，建设集监测预警、数据分析、监管执法、决策支持于一体的草原生态保护智慧监管系统，整合自然资源、林草、气象、畜牧等多部门数据资源，打破信息壁垒，实现数据实时共享、动态更新。开发草原退化风险预警、载畜量动态调控、灾害应急响应等智能模块，通过大数据分析、人工智能算法，为草原保护修复、草畜平衡管理、政策制定提供科学支撑。</w:t>
      </w:r>
    </w:p>
    <w:p w14:paraId="2A079117">
      <w:pPr>
        <w:spacing w:line="360" w:lineRule="auto"/>
        <w:ind w:firstLine="480" w:firstLineChars="200"/>
        <w:rPr>
          <w:rFonts w:ascii="宋体" w:hAnsi="宋体" w:eastAsia="宋体" w:cs="宋体"/>
          <w:sz w:val="24"/>
          <w:szCs w:val="24"/>
        </w:rPr>
      </w:pPr>
      <w:r>
        <w:rPr>
          <w:rFonts w:ascii="宋体" w:hAnsi="宋体" w:eastAsia="宋体" w:cs="宋体"/>
          <w:sz w:val="24"/>
          <w:szCs w:val="24"/>
        </w:rPr>
        <w:t>三是强化数据应用与管理，建立草原监测数据常态化更新机制和质量核查体系，确保数据真实、准确、完整。推进监测数据与执法监管、项目管理、考核评价等工作的深度融合，实现“监测—分析—预警—处置”的闭环管理，提升草原监管的精准化、高效化水平。</w:t>
      </w:r>
    </w:p>
    <w:p w14:paraId="4B1B710C">
      <w:pPr>
        <w:pStyle w:val="4"/>
        <w:numPr>
          <w:ilvl w:val="2"/>
          <w:numId w:val="2"/>
        </w:numPr>
        <w:spacing w:before="120" w:after="120" w:line="360" w:lineRule="auto"/>
        <w:rPr>
          <w:rStyle w:val="28"/>
          <w:color w:val="auto"/>
          <w:sz w:val="28"/>
          <w:szCs w:val="28"/>
          <w:u w:val="none"/>
        </w:rPr>
      </w:pPr>
      <w:bookmarkStart w:id="91" w:name="_Toc8641"/>
      <w:r>
        <w:rPr>
          <w:rStyle w:val="28"/>
          <w:rFonts w:hint="eastAsia"/>
          <w:color w:val="auto"/>
          <w:sz w:val="28"/>
          <w:szCs w:val="28"/>
          <w:u w:val="none"/>
        </w:rPr>
        <w:t>“数字孪生”体系建设</w:t>
      </w:r>
      <w:bookmarkEnd w:id="91"/>
    </w:p>
    <w:p w14:paraId="17A26638">
      <w:pPr>
        <w:spacing w:line="360" w:lineRule="auto"/>
        <w:ind w:left="23" w:firstLine="556"/>
        <w:rPr>
          <w:rFonts w:ascii="Times New Roman" w:hAnsi="Times New Roman" w:eastAsia="宋体" w:cs="Times New Roman"/>
          <w:sz w:val="24"/>
          <w:szCs w:val="24"/>
        </w:rPr>
      </w:pPr>
      <w:r>
        <w:rPr>
          <w:rFonts w:ascii="Times New Roman" w:hAnsi="Times New Roman" w:eastAsia="宋体" w:cs="Times New Roman"/>
          <w:sz w:val="24"/>
          <w:szCs w:val="24"/>
        </w:rPr>
        <w:t>数字孪生（DigitalTwin）是通过数字化手段在虚拟空间中构建一个与物理实体高度一致、实时映射、并能通过模拟、监控、分析和预测来优化物理实体行为的模型。它不仅是一个静态的3D模型，更是一个动态的、持续更新的、具备数据驱动决策能力的系统。</w:t>
      </w:r>
    </w:p>
    <w:p w14:paraId="4847E490">
      <w:pPr>
        <w:spacing w:line="360" w:lineRule="auto"/>
        <w:ind w:left="23" w:firstLine="556"/>
        <w:rPr>
          <w:rFonts w:ascii="Times New Roman" w:hAnsi="Times New Roman" w:eastAsia="宋体" w:cs="Times New Roman"/>
          <w:sz w:val="24"/>
          <w:szCs w:val="24"/>
        </w:rPr>
      </w:pPr>
      <w:r>
        <w:rPr>
          <w:rFonts w:ascii="Times New Roman" w:hAnsi="Times New Roman" w:eastAsia="宋体" w:cs="Times New Roman"/>
          <w:sz w:val="24"/>
          <w:szCs w:val="24"/>
        </w:rPr>
        <w:t>数字孪生技术</w:t>
      </w:r>
      <w:r>
        <w:rPr>
          <w:rFonts w:hint="eastAsia" w:ascii="Times New Roman" w:hAnsi="Times New Roman" w:eastAsia="宋体" w:cs="Times New Roman"/>
          <w:sz w:val="24"/>
          <w:szCs w:val="24"/>
        </w:rPr>
        <w:t>可</w:t>
      </w:r>
      <w:r>
        <w:rPr>
          <w:rFonts w:ascii="Times New Roman" w:hAnsi="Times New Roman" w:eastAsia="宋体" w:cs="Times New Roman"/>
          <w:sz w:val="24"/>
          <w:szCs w:val="24"/>
        </w:rPr>
        <w:t>为昌都市草原保护修复提供创新工具，有望实现</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生态保护、牧业发展与区域可持续性的协同共赢，助力</w:t>
      </w:r>
      <w:r>
        <w:rPr>
          <w:rFonts w:hint="eastAsia" w:ascii="Times New Roman" w:hAnsi="Times New Roman" w:eastAsia="宋体" w:cs="Times New Roman"/>
          <w:sz w:val="24"/>
          <w:szCs w:val="24"/>
        </w:rPr>
        <w:t>昌都市乃至</w:t>
      </w:r>
      <w:r>
        <w:rPr>
          <w:rFonts w:ascii="Times New Roman" w:hAnsi="Times New Roman" w:eastAsia="宋体" w:cs="Times New Roman"/>
          <w:sz w:val="24"/>
          <w:szCs w:val="24"/>
        </w:rPr>
        <w:t>青藏高原生态文明建设。</w:t>
      </w:r>
    </w:p>
    <w:p w14:paraId="7CDE71DD">
      <w:pPr>
        <w:spacing w:line="360" w:lineRule="auto"/>
        <w:ind w:left="23" w:firstLine="556"/>
        <w:rPr>
          <w:rFonts w:ascii="Times New Roman" w:hAnsi="Times New Roman" w:eastAsia="宋体" w:cs="Times New Roman"/>
          <w:sz w:val="24"/>
          <w:szCs w:val="24"/>
        </w:rPr>
      </w:pPr>
      <w:r>
        <w:rPr>
          <w:rFonts w:hint="eastAsia" w:ascii="Times New Roman" w:hAnsi="Times New Roman" w:eastAsia="宋体" w:cs="Times New Roman"/>
          <w:sz w:val="24"/>
          <w:szCs w:val="24"/>
        </w:rPr>
        <w:t>为服务昌都市草原生态保护修复利用，利用“数字孪生”技术，构建一个“天空地感知、数字世界仿真、业务智能决策”的智慧化体系。该体系以“天空地”一体化监测网络为“感官”，全面采集草原实时数据；以三维数字孪生平台为“大脑”，通过机理与AI模型模拟生态过程、推演未来变化。该体系主要通过实现可感知（</w:t>
      </w:r>
      <w:r>
        <w:rPr>
          <w:rFonts w:ascii="Times New Roman" w:hAnsi="Times New Roman" w:eastAsia="宋体" w:cs="Times New Roman"/>
          <w:sz w:val="24"/>
          <w:szCs w:val="24"/>
        </w:rPr>
        <w:t>对草原资源、健康状况、灾害风险进行全景监控</w:t>
      </w:r>
      <w:r>
        <w:rPr>
          <w:rFonts w:hint="eastAsia" w:ascii="Times New Roman" w:hAnsi="Times New Roman" w:eastAsia="宋体" w:cs="Times New Roman"/>
          <w:sz w:val="24"/>
          <w:szCs w:val="24"/>
        </w:rPr>
        <w:t>）、可诊断（</w:t>
      </w:r>
      <w:r>
        <w:rPr>
          <w:rFonts w:ascii="Times New Roman" w:hAnsi="Times New Roman" w:eastAsia="宋体" w:cs="Times New Roman"/>
          <w:sz w:val="24"/>
          <w:szCs w:val="24"/>
        </w:rPr>
        <w:t>智能识别退化成因，精准评估修复效果</w:t>
      </w:r>
      <w:r>
        <w:rPr>
          <w:rFonts w:hint="eastAsia" w:ascii="Times New Roman" w:hAnsi="Times New Roman" w:eastAsia="宋体" w:cs="Times New Roman"/>
          <w:sz w:val="24"/>
          <w:szCs w:val="24"/>
        </w:rPr>
        <w:t>）、可预测（</w:t>
      </w:r>
      <w:r>
        <w:rPr>
          <w:rFonts w:ascii="Times New Roman" w:hAnsi="Times New Roman" w:eastAsia="宋体" w:cs="Times New Roman"/>
          <w:sz w:val="24"/>
          <w:szCs w:val="24"/>
        </w:rPr>
        <w:t>模拟气候变化、不同管理措施对草原的长期影响</w:t>
      </w:r>
      <w:r>
        <w:rPr>
          <w:rFonts w:hint="eastAsia" w:ascii="Times New Roman" w:hAnsi="Times New Roman" w:eastAsia="宋体" w:cs="Times New Roman"/>
          <w:sz w:val="24"/>
          <w:szCs w:val="24"/>
        </w:rPr>
        <w:t>）、可调控（</w:t>
      </w:r>
      <w:r>
        <w:rPr>
          <w:rFonts w:ascii="Times New Roman" w:hAnsi="Times New Roman" w:eastAsia="宋体" w:cs="Times New Roman"/>
          <w:sz w:val="24"/>
          <w:szCs w:val="24"/>
        </w:rPr>
        <w:t>为精准放牧、灾害防控、生态修复提供科学决策方案</w:t>
      </w:r>
      <w:r>
        <w:rPr>
          <w:rFonts w:hint="eastAsia" w:ascii="Times New Roman" w:hAnsi="Times New Roman" w:eastAsia="宋体" w:cs="Times New Roman"/>
          <w:sz w:val="24"/>
          <w:szCs w:val="24"/>
        </w:rPr>
        <w:t>）为核心目标，</w:t>
      </w:r>
      <w:r>
        <w:rPr>
          <w:rFonts w:ascii="Times New Roman" w:hAnsi="Times New Roman" w:eastAsia="宋体" w:cs="Times New Roman"/>
          <w:sz w:val="24"/>
          <w:szCs w:val="24"/>
        </w:rPr>
        <w:t>打造一个符合昌都特色的 “草原智慧体”，推动管理从经验判断向科学仿真、从事后处置向事前预警的根本转变，实现</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生态保护与绿色发展的协同共赢。</w:t>
      </w:r>
    </w:p>
    <w:p w14:paraId="6F9A2A6D">
      <w:pPr>
        <w:spacing w:line="360" w:lineRule="auto"/>
        <w:ind w:left="23" w:firstLine="556"/>
        <w:rPr>
          <w:rFonts w:ascii="Times New Roman" w:hAnsi="Times New Roman" w:eastAsia="宋体" w:cs="Times New Roman"/>
          <w:sz w:val="24"/>
          <w:szCs w:val="24"/>
        </w:rPr>
      </w:pPr>
      <w:r>
        <w:rPr>
          <w:rFonts w:ascii="Times New Roman" w:hAnsi="Times New Roman" w:eastAsia="宋体" w:cs="Times New Roman"/>
          <w:sz w:val="24"/>
          <w:szCs w:val="24"/>
        </w:rPr>
        <w:t>构建昌都市草原数字孪生体系，是将青藏高原生态保护从</w:t>
      </w:r>
      <w:r>
        <w:rPr>
          <w:rFonts w:hint="eastAsia" w:ascii="Times New Roman" w:hAnsi="Times New Roman" w:eastAsia="宋体" w:cs="Times New Roman"/>
          <w:sz w:val="24"/>
          <w:szCs w:val="24"/>
        </w:rPr>
        <w:t>“</w:t>
      </w:r>
      <w:r>
        <w:rPr>
          <w:rFonts w:ascii="Times New Roman" w:hAnsi="Times New Roman" w:eastAsia="宋体" w:cs="Times New Roman"/>
          <w:sz w:val="24"/>
          <w:szCs w:val="24"/>
        </w:rPr>
        <w:t>模糊经验管理</w:t>
      </w:r>
      <w:r>
        <w:rPr>
          <w:rFonts w:hint="eastAsia" w:ascii="Times New Roman" w:hAnsi="Times New Roman" w:eastAsia="宋体" w:cs="Times New Roman"/>
          <w:sz w:val="24"/>
          <w:szCs w:val="24"/>
        </w:rPr>
        <w:t>”</w:t>
      </w:r>
      <w:r>
        <w:rPr>
          <w:rFonts w:ascii="Times New Roman" w:hAnsi="Times New Roman" w:eastAsia="宋体" w:cs="Times New Roman"/>
          <w:sz w:val="24"/>
          <w:szCs w:val="24"/>
        </w:rPr>
        <w:t>迈向</w:t>
      </w:r>
      <w:r>
        <w:rPr>
          <w:rFonts w:hint="eastAsia" w:ascii="Times New Roman" w:hAnsi="Times New Roman" w:eastAsia="宋体" w:cs="Times New Roman"/>
          <w:sz w:val="24"/>
          <w:szCs w:val="24"/>
        </w:rPr>
        <w:t>“</w:t>
      </w:r>
      <w:r>
        <w:rPr>
          <w:rFonts w:ascii="Times New Roman" w:hAnsi="Times New Roman" w:eastAsia="宋体" w:cs="Times New Roman"/>
          <w:sz w:val="24"/>
          <w:szCs w:val="24"/>
        </w:rPr>
        <w:t>精准科学治理</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的关键一跃。它不仅是一个技术项目，更是一项草原治理体系的系统性变革，能够为实现昌都草原生态系统的永续健康、牧区产业的转型升级和人与自然和谐共生，提供强大的现代化工具和智慧化引擎。</w:t>
      </w: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3B671A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8955" w:type="dxa"/>
            <w:shd w:val="clear" w:color="auto" w:fill="auto"/>
          </w:tcPr>
          <w:p w14:paraId="00D4AF9A">
            <w:pPr>
              <w:pStyle w:val="46"/>
              <w:spacing w:before="55" w:line="228" w:lineRule="auto"/>
              <w:rPr>
                <w:rFonts w:ascii="Times New Roman" w:hAnsi="Times New Roman" w:cs="Times New Roman"/>
                <w:sz w:val="20"/>
                <w:szCs w:val="20"/>
                <w:lang w:eastAsia="zh-CN"/>
              </w:rPr>
            </w:pPr>
            <w:r>
              <w:rPr>
                <w:rFonts w:ascii="Times New Roman" w:hAnsi="Times New Roman" w:cs="Times New Roman"/>
                <w:b/>
                <w:bCs/>
                <w:sz w:val="24"/>
                <w:szCs w:val="24"/>
                <w:lang w:eastAsia="zh-CN"/>
              </w:rPr>
              <w:t>专栏</w:t>
            </w:r>
            <w:r>
              <w:rPr>
                <w:rFonts w:hint="eastAsia" w:ascii="Times New Roman" w:hAnsi="Times New Roman" w:cs="Times New Roman"/>
                <w:b/>
                <w:bCs/>
                <w:sz w:val="24"/>
                <w:szCs w:val="24"/>
                <w:lang w:eastAsia="zh-CN"/>
              </w:rPr>
              <w:t>6</w:t>
            </w:r>
            <w:r>
              <w:rPr>
                <w:rFonts w:ascii="Times New Roman" w:hAnsi="Times New Roman" w:cs="Times New Roman"/>
                <w:b/>
                <w:bCs/>
                <w:sz w:val="24"/>
                <w:szCs w:val="24"/>
                <w:lang w:eastAsia="zh-CN"/>
              </w:rPr>
              <w:t>-1草原监测信息化与监管智能化建设重点工程</w:t>
            </w:r>
          </w:p>
        </w:tc>
      </w:tr>
      <w:tr w14:paraId="738CA0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8955" w:type="dxa"/>
          </w:tcPr>
          <w:p w14:paraId="1ACC11A9">
            <w:pPr>
              <w:pStyle w:val="46"/>
              <w:spacing w:line="360" w:lineRule="auto"/>
              <w:ind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1.草原综合调查监测建设。组织10次草原资源年度动态监测与评价；组织1次草原资源调查。</w:t>
            </w:r>
          </w:p>
          <w:p w14:paraId="0CDC48CC">
            <w:pPr>
              <w:pStyle w:val="46"/>
              <w:spacing w:line="360" w:lineRule="auto"/>
              <w:ind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2.</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天空地</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一体化林草监测预警体系建设。规划建设林草地面综合生态监测站；规划建设全自主无人机巡检平台；规划省级草原固定监测点，市级草原固定监测点；规划建设大数据中心，规划建设林草信息化管理平台；采购卫星监测预警系统。</w:t>
            </w:r>
          </w:p>
          <w:p w14:paraId="28044322">
            <w:pPr>
              <w:pStyle w:val="46"/>
              <w:spacing w:line="360" w:lineRule="auto"/>
              <w:ind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3.</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数字孪生</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体系建设。为服务昌都市草原生态保护修复利用，利用</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数字孪生</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技术，构建一个</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天空地感知、数字世界仿真、业务智能决策</w:t>
            </w:r>
            <w:r>
              <w:rPr>
                <w:rFonts w:hint="eastAsia" w:ascii="Times New Roman" w:hAnsi="Times New Roman" w:cs="Times New Roman"/>
                <w:sz w:val="24"/>
                <w:szCs w:val="24"/>
                <w:lang w:eastAsia="zh-CN"/>
              </w:rPr>
              <w:t>”</w:t>
            </w:r>
            <w:r>
              <w:rPr>
                <w:rFonts w:ascii="Times New Roman" w:hAnsi="Times New Roman" w:cs="Times New Roman"/>
                <w:sz w:val="24"/>
                <w:szCs w:val="24"/>
                <w:lang w:eastAsia="zh-CN"/>
              </w:rPr>
              <w:t>的智慧化体系。</w:t>
            </w:r>
            <w:r>
              <w:rPr>
                <w:rFonts w:hint="eastAsia" w:ascii="Times New Roman" w:hAnsi="Times New Roman" w:cs="Times New Roman"/>
                <w:sz w:val="24"/>
                <w:szCs w:val="24"/>
                <w:lang w:eastAsia="zh-CN"/>
              </w:rPr>
              <w:t>先试点1-2个县，再逐步推广至全市。</w:t>
            </w:r>
          </w:p>
        </w:tc>
      </w:tr>
    </w:tbl>
    <w:p w14:paraId="0F8ECBEA">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92" w:name="_Toc25881"/>
      <w:r>
        <w:rPr>
          <w:rStyle w:val="28"/>
          <w:rFonts w:hint="default" w:ascii="Times New Roman"/>
          <w:color w:val="auto"/>
          <w:kern w:val="2"/>
          <w:sz w:val="32"/>
          <w:szCs w:val="32"/>
          <w:u w:val="none"/>
        </w:rPr>
        <w:t>执法监督能力建设</w:t>
      </w:r>
      <w:bookmarkEnd w:id="92"/>
    </w:p>
    <w:p w14:paraId="794B7413">
      <w:pPr>
        <w:pStyle w:val="4"/>
        <w:numPr>
          <w:ilvl w:val="2"/>
          <w:numId w:val="2"/>
        </w:numPr>
        <w:spacing w:before="120" w:after="120" w:line="360" w:lineRule="auto"/>
        <w:rPr>
          <w:rStyle w:val="28"/>
          <w:color w:val="auto"/>
          <w:sz w:val="28"/>
          <w:szCs w:val="28"/>
          <w:u w:val="none"/>
        </w:rPr>
      </w:pPr>
      <w:bookmarkStart w:id="93" w:name="_Toc21493"/>
      <w:r>
        <w:rPr>
          <w:rStyle w:val="28"/>
          <w:rFonts w:hint="eastAsia"/>
          <w:color w:val="auto"/>
          <w:sz w:val="28"/>
          <w:szCs w:val="28"/>
          <w:u w:val="none"/>
        </w:rPr>
        <w:t>执法监督体系建设</w:t>
      </w:r>
      <w:bookmarkEnd w:id="93"/>
    </w:p>
    <w:p w14:paraId="7E1783BD">
      <w:pPr>
        <w:spacing w:line="360" w:lineRule="auto"/>
        <w:ind w:firstLine="480" w:firstLineChars="200"/>
        <w:rPr>
          <w:rFonts w:ascii="宋体" w:hAnsi="宋体" w:eastAsia="宋体" w:cs="宋体"/>
          <w:sz w:val="24"/>
          <w:szCs w:val="24"/>
        </w:rPr>
      </w:pPr>
      <w:r>
        <w:rPr>
          <w:rFonts w:ascii="宋体" w:hAnsi="宋体" w:eastAsia="宋体" w:cs="宋体"/>
          <w:sz w:val="24"/>
          <w:szCs w:val="24"/>
        </w:rPr>
        <w:t>依据《中华人民共和国草原法》和《基本草原保护条例》</w:t>
      </w:r>
      <w:r>
        <w:rPr>
          <w:rFonts w:hint="eastAsia" w:ascii="宋体" w:hAnsi="宋体" w:eastAsia="宋体" w:cs="宋体"/>
          <w:sz w:val="24"/>
          <w:szCs w:val="24"/>
        </w:rPr>
        <w:t>，</w:t>
      </w:r>
      <w:r>
        <w:rPr>
          <w:rFonts w:ascii="宋体" w:hAnsi="宋体" w:eastAsia="宋体" w:cs="宋体"/>
          <w:sz w:val="24"/>
          <w:szCs w:val="24"/>
        </w:rPr>
        <w:t>完善制度建设，在地方草原保护管理的部门规章制度中，确立规范的草原保护管理监督制度，明确草原保护管理执法监督工作的内容、督管方式、监督程序、责任追究和工作保障等内容，有效支撑草原执法监督工作的规范化和实效化。坚持“严管严治、依法保护”，全面提升草原执法监督的规范化、专业化、常态化水平。</w:t>
      </w:r>
    </w:p>
    <w:p w14:paraId="50DE97D7">
      <w:pPr>
        <w:spacing w:line="360" w:lineRule="auto"/>
        <w:ind w:firstLine="480" w:firstLineChars="200"/>
        <w:rPr>
          <w:rFonts w:ascii="宋体" w:hAnsi="宋体" w:eastAsia="宋体" w:cs="宋体"/>
          <w:sz w:val="24"/>
          <w:szCs w:val="24"/>
        </w:rPr>
      </w:pPr>
      <w:r>
        <w:rPr>
          <w:rFonts w:ascii="宋体" w:hAnsi="宋体" w:eastAsia="宋体" w:cs="宋体"/>
          <w:sz w:val="24"/>
          <w:szCs w:val="24"/>
        </w:rPr>
        <w:t>一是健全执法体制机制，进一步明确市、县（区）、乡（镇）三级草原执法职责，完善跨部门、跨区域联合执法机制，加强林草、公安、自然资源、生态环境、农业农村等部门的协同配合，形成执法合力。建立草原违法案件举报奖励制度，畅通举报渠道，鼓励社会公众参与草原保护监督。</w:t>
      </w:r>
    </w:p>
    <w:p w14:paraId="32DFEB5B">
      <w:pPr>
        <w:spacing w:line="360" w:lineRule="auto"/>
        <w:ind w:firstLine="480" w:firstLineChars="200"/>
        <w:rPr>
          <w:rFonts w:ascii="宋体" w:hAnsi="宋体" w:eastAsia="宋体" w:cs="宋体"/>
          <w:sz w:val="24"/>
          <w:szCs w:val="24"/>
        </w:rPr>
      </w:pPr>
      <w:r>
        <w:rPr>
          <w:rFonts w:ascii="宋体" w:hAnsi="宋体" w:eastAsia="宋体" w:cs="宋体"/>
          <w:sz w:val="24"/>
          <w:szCs w:val="24"/>
        </w:rPr>
        <w:t>二是加强执法队伍建设，按照“专业化、规范化”要求，充实基层草原执法力量，在重点草原县（区）、乡（镇）配备专职执法人员。定期开展执法业务培训和实战演练，重点提升执法人员在草原违法案件调查取证、法律适用、文书制作等方面的能力，打造一支政治过硬、业务精通、作风优良的草原执法队伍。</w:t>
      </w:r>
    </w:p>
    <w:p w14:paraId="0768C3B3">
      <w:pPr>
        <w:spacing w:line="360" w:lineRule="auto"/>
        <w:ind w:firstLine="480" w:firstLineChars="200"/>
        <w:rPr>
          <w:rFonts w:ascii="宋体" w:hAnsi="宋体" w:eastAsia="宋体" w:cs="宋体"/>
          <w:sz w:val="24"/>
          <w:szCs w:val="24"/>
        </w:rPr>
      </w:pPr>
      <w:r>
        <w:rPr>
          <w:rFonts w:ascii="宋体" w:hAnsi="宋体" w:eastAsia="宋体" w:cs="宋体"/>
          <w:sz w:val="24"/>
          <w:szCs w:val="24"/>
        </w:rPr>
        <w:t>三是强化执法装备保障，为基层执法队伍配备执法车辆、无人机、执法记录仪、便携式检测设备等必要的执法装备，改善执法条件。运用卫星遥感、无人机巡查等科技手段，开展非现场执法监管，提高执法效率和覆盖面。</w:t>
      </w:r>
    </w:p>
    <w:p w14:paraId="770E5E9A">
      <w:pPr>
        <w:spacing w:line="360" w:lineRule="auto"/>
        <w:ind w:firstLine="480" w:firstLineChars="200"/>
        <w:rPr>
          <w:rFonts w:ascii="宋体" w:hAnsi="宋体" w:eastAsia="宋体" w:cs="宋体"/>
          <w:sz w:val="24"/>
          <w:szCs w:val="24"/>
        </w:rPr>
      </w:pPr>
      <w:r>
        <w:rPr>
          <w:rFonts w:ascii="宋体" w:hAnsi="宋体" w:eastAsia="宋体" w:cs="宋体"/>
          <w:sz w:val="24"/>
          <w:szCs w:val="24"/>
        </w:rPr>
        <w:t>四是加大执法力度，严厉打击非法开垦草原、非法放牧、非法采挖草原植被、非法占用草原等违法行为，做到有案必查、违法必究、执法必严。建立草原违法案件挂牌督办制度和典型案例公开曝光制度，形成强大震慑，切实维护草原生态安全和法律法规权威。</w:t>
      </w:r>
    </w:p>
    <w:p w14:paraId="5F947867">
      <w:pPr>
        <w:pStyle w:val="4"/>
        <w:numPr>
          <w:ilvl w:val="2"/>
          <w:numId w:val="2"/>
        </w:numPr>
        <w:spacing w:before="120" w:after="120" w:line="360" w:lineRule="auto"/>
        <w:rPr>
          <w:rStyle w:val="28"/>
          <w:color w:val="auto"/>
          <w:sz w:val="28"/>
          <w:szCs w:val="28"/>
          <w:u w:val="none"/>
        </w:rPr>
      </w:pPr>
      <w:bookmarkStart w:id="94" w:name="_Toc31145"/>
      <w:r>
        <w:rPr>
          <w:rStyle w:val="28"/>
          <w:rFonts w:hint="eastAsia"/>
          <w:color w:val="auto"/>
          <w:sz w:val="28"/>
          <w:szCs w:val="28"/>
          <w:u w:val="none"/>
        </w:rPr>
        <w:t>执法监督能力建设</w:t>
      </w:r>
      <w:bookmarkEnd w:id="94"/>
    </w:p>
    <w:p w14:paraId="088013DB">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强化执法人员专业素质能力建设，通过培训与考核，严格控制执法人员的准入关，确保执法人员具备执法资格，规范执法行为，提升执法质量和效能。定时组织执法培训，培训内容涵盖执法主体、执法程序、案件定性、调查处罚、联合执法、执法宣传、草原保护等。加强执法的信息化应用，依托林草信息化管理平台进行执法案件的监督办理，林草信息化管理平台应与自然资源、农业农村、环保等相关部门的信息化管理平台有效衔接，并实现信息共享，方便联合联动执法，建立快捷、高效、透明、公开的执法监督机制。配备必要的执法监督交通与通讯设备、检验仪器设备等，对执法监督设备进行补充和更新。</w:t>
      </w: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60DD78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8955" w:type="dxa"/>
            <w:shd w:val="clear" w:color="auto" w:fill="auto"/>
          </w:tcPr>
          <w:p w14:paraId="43D49988">
            <w:pPr>
              <w:pStyle w:val="46"/>
              <w:spacing w:before="52" w:line="228" w:lineRule="auto"/>
              <w:jc w:val="left"/>
              <w:rPr>
                <w:rFonts w:ascii="Times New Roman" w:hAnsi="Times New Roman" w:cs="Times New Roman"/>
                <w:sz w:val="24"/>
                <w:szCs w:val="24"/>
                <w:lang w:eastAsia="zh-CN"/>
              </w:rPr>
            </w:pPr>
            <w:r>
              <w:rPr>
                <w:rFonts w:ascii="Times New Roman" w:hAnsi="Times New Roman" w:cs="Times New Roman"/>
                <w:b/>
                <w:bCs/>
                <w:sz w:val="24"/>
                <w:szCs w:val="24"/>
                <w:lang w:eastAsia="zh-CN"/>
              </w:rPr>
              <w:t>专栏6-2执法监督能力建设工程</w:t>
            </w:r>
          </w:p>
        </w:tc>
      </w:tr>
      <w:tr w14:paraId="79C069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1" w:hRule="atLeast"/>
        </w:trPr>
        <w:tc>
          <w:tcPr>
            <w:tcW w:w="8955" w:type="dxa"/>
          </w:tcPr>
          <w:p w14:paraId="74728843">
            <w:pPr>
              <w:pStyle w:val="46"/>
              <w:spacing w:before="48" w:line="360" w:lineRule="auto"/>
              <w:ind w:left="118" w:right="111"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1.法律法规体系建设。制定地方性草原保护管理规章，全面促进草原保护、管理、建设与合理利用。</w:t>
            </w:r>
          </w:p>
          <w:p w14:paraId="6D0EE4F1">
            <w:pPr>
              <w:pStyle w:val="46"/>
              <w:spacing w:before="63" w:line="360" w:lineRule="auto"/>
              <w:ind w:left="115" w:right="38"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2.执法监督体系建设。完善草原保护管理监督制度，明确草原保护管理执法监督工作的内容、督管方式、监督程序、责任追究和工作保障等内容；加大草原执法力度，全面加强草原执法监督检查；建立联合执法工作机制；补充草原执法监督专业人员，建立和完善县、乡镇和村三级草原执法监督与生态管护专业相结合的监督管理队伍。</w:t>
            </w:r>
          </w:p>
          <w:p w14:paraId="4F29EBB1">
            <w:pPr>
              <w:pStyle w:val="46"/>
              <w:spacing w:before="66" w:line="360" w:lineRule="auto"/>
              <w:ind w:left="115" w:right="54" w:firstLine="480" w:firstLineChars="200"/>
              <w:rPr>
                <w:rFonts w:ascii="Times New Roman" w:hAnsi="Times New Roman" w:cs="Times New Roman"/>
                <w:sz w:val="24"/>
                <w:szCs w:val="24"/>
                <w:lang w:eastAsia="zh-CN"/>
              </w:rPr>
            </w:pPr>
            <w:r>
              <w:rPr>
                <w:rFonts w:ascii="Times New Roman" w:hAnsi="Times New Roman" w:cs="Times New Roman"/>
                <w:sz w:val="24"/>
                <w:szCs w:val="24"/>
                <w:lang w:eastAsia="zh-CN"/>
              </w:rPr>
              <w:t>3.执法监督能力建设。每年组织 1 次执法培训，共组织10次；为林草局采购执法监督设备，共采购11套。</w:t>
            </w:r>
          </w:p>
        </w:tc>
      </w:tr>
    </w:tbl>
    <w:p w14:paraId="21FA2DAF"/>
    <w:p w14:paraId="01C81250">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95" w:name="_Toc6882"/>
      <w:r>
        <w:rPr>
          <w:rStyle w:val="28"/>
          <w:rFonts w:hint="default" w:ascii="Times New Roman"/>
          <w:color w:val="auto"/>
          <w:kern w:val="2"/>
          <w:sz w:val="32"/>
          <w:szCs w:val="32"/>
          <w:u w:val="none"/>
        </w:rPr>
        <w:t>草原科技支撑能力提升建设</w:t>
      </w:r>
      <w:bookmarkEnd w:id="95"/>
    </w:p>
    <w:p w14:paraId="471F16BB">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以科技创新为引领，强化草原生态保护修复与草业发展的科技支撑，推动草原治理从“经验型”向“科技型”转变。</w:t>
      </w:r>
    </w:p>
    <w:p w14:paraId="6D28E99A">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一是加强关键技术研发与示范，围绕昌都市草原退化修复、优质牧草培育、草畜平衡调控、草原灾害绿色防控等重点领域，联合区内外科研院校、龙头企业开展产学研合作，攻关一批适合高原生态特点的核心技术。重点研发退化草原综合治理技术、耐寒耐旱优质牧草品种选育技术、生态友好型放牧管理技术、草原碳汇核算与提升技术等，建设 10 个科技示范基地，集中展示和推广先进适用技术，加速科技成果转化应用。</w:t>
      </w:r>
    </w:p>
    <w:p w14:paraId="77A5E5CA">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二是完善科技服务体系，建立市、县（区）、乡（镇）三级草原科技服务网络，选派科技特派员、草原技术专家深入基层，开展技术指导、培训和咨询服务，打通科技服务 “最后一公里”。针对牧民群众在草原保护、牧草种植、牲畜养殖等方面的实际需求，编制通俗易懂的技术手册、短视频等宣传资料，提高牧民群众应用先进技术的能力。</w:t>
      </w:r>
    </w:p>
    <w:p w14:paraId="01A413F0">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三是加强人才培养与引进，制定草原科技人才培养计划，通过“请进来、走出去”的方式，培养一批本土草原科技骨干。积极引进区内外高层次草原生态保护、草业发展等领域的专业人才，建立专家智库，为规划实施提供决策咨询和技术支撑。</w:t>
      </w:r>
    </w:p>
    <w:p w14:paraId="207E5D5C">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四是推进标准化建设，制定完善昌都市草原生态保护修复、牧草种植、草产品加工、草原监测评价等地方标准体系，规范草原保护修复和草业生产经营行为，提升行业整体发展水平。</w:t>
      </w:r>
    </w:p>
    <w:p w14:paraId="5F973DDD">
      <w:pPr>
        <w:spacing w:line="20" w:lineRule="exact"/>
      </w:pP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32E94F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8955" w:type="dxa"/>
            <w:shd w:val="clear" w:color="auto" w:fill="auto"/>
          </w:tcPr>
          <w:p w14:paraId="47A351C9">
            <w:pPr>
              <w:pStyle w:val="46"/>
              <w:spacing w:before="52" w:line="227" w:lineRule="auto"/>
              <w:rPr>
                <w:rFonts w:ascii="Times New Roman" w:hAnsi="Times New Roman" w:cs="Times New Roman"/>
                <w:sz w:val="24"/>
                <w:szCs w:val="24"/>
                <w:lang w:eastAsia="zh-CN"/>
              </w:rPr>
            </w:pPr>
            <w:r>
              <w:rPr>
                <w:rFonts w:ascii="Times New Roman" w:hAnsi="Times New Roman" w:cs="Times New Roman"/>
                <w:sz w:val="24"/>
                <w:szCs w:val="24"/>
                <w:lang w:eastAsia="zh-CN"/>
              </w:rPr>
              <w:t>专</w:t>
            </w:r>
            <w:r>
              <w:rPr>
                <w:rFonts w:ascii="Times New Roman" w:hAnsi="Times New Roman" w:cs="Times New Roman"/>
                <w:b/>
                <w:bCs/>
                <w:sz w:val="24"/>
                <w:szCs w:val="24"/>
                <w:lang w:eastAsia="zh-CN"/>
              </w:rPr>
              <w:t>栏6-3科技创新能力建设工程</w:t>
            </w:r>
          </w:p>
        </w:tc>
      </w:tr>
      <w:tr w14:paraId="5DB63C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1" w:hRule="atLeast"/>
        </w:trPr>
        <w:tc>
          <w:tcPr>
            <w:tcW w:w="8955" w:type="dxa"/>
          </w:tcPr>
          <w:p w14:paraId="3C75971C">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加强关键技术研发与示范，围绕昌都市草原退化修复、优质牧草培育、草畜平衡调控、草原灾害绿色防控等重点领域，联合区内外科研院校、龙头企业开展产学研合作，攻关一批适合高原生态特点的核心技术。</w:t>
            </w:r>
          </w:p>
          <w:p w14:paraId="4BA2A324">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完善科技服务体系，建立市、县（区）、乡（镇）三级草原科技服务网络，选派科技特派员、草原技术专家深入基层，开展技术指导、培训和咨询服务，打通科技服务</w:t>
            </w:r>
            <w:r>
              <w:rPr>
                <w:rFonts w:hint="eastAsia" w:ascii="Times New Roman" w:hAnsi="Times New Roman" w:eastAsia="宋体" w:cs="Times New Roman"/>
                <w:sz w:val="24"/>
                <w:szCs w:val="24"/>
              </w:rPr>
              <w:t>“</w:t>
            </w:r>
            <w:r>
              <w:rPr>
                <w:rFonts w:ascii="Times New Roman" w:hAnsi="Times New Roman" w:eastAsia="宋体" w:cs="Times New Roman"/>
                <w:sz w:val="24"/>
                <w:szCs w:val="24"/>
              </w:rPr>
              <w:t>最后一公里</w:t>
            </w:r>
            <w:r>
              <w:rPr>
                <w:rFonts w:hint="eastAsia" w:ascii="Times New Roman" w:hAnsi="Times New Roman" w:eastAsia="宋体" w:cs="Times New Roman"/>
                <w:sz w:val="24"/>
                <w:szCs w:val="24"/>
              </w:rPr>
              <w:t>”</w:t>
            </w:r>
            <w:r>
              <w:rPr>
                <w:rFonts w:ascii="Times New Roman" w:hAnsi="Times New Roman" w:eastAsia="宋体" w:cs="Times New Roman"/>
                <w:sz w:val="24"/>
                <w:szCs w:val="24"/>
              </w:rPr>
              <w:t>。</w:t>
            </w:r>
          </w:p>
          <w:p w14:paraId="7F7AF57A">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加强人才培养与引进，制定草原科技人才培养计划，通过</w:t>
            </w:r>
            <w:r>
              <w:rPr>
                <w:rFonts w:hint="eastAsia" w:ascii="Times New Roman" w:hAnsi="Times New Roman" w:eastAsia="宋体" w:cs="Times New Roman"/>
                <w:sz w:val="24"/>
                <w:szCs w:val="24"/>
              </w:rPr>
              <w:t>“</w:t>
            </w:r>
            <w:r>
              <w:rPr>
                <w:rFonts w:ascii="Times New Roman" w:hAnsi="Times New Roman" w:eastAsia="宋体" w:cs="Times New Roman"/>
                <w:sz w:val="24"/>
                <w:szCs w:val="24"/>
              </w:rPr>
              <w:t>请进来、走出去</w:t>
            </w:r>
            <w:r>
              <w:rPr>
                <w:rFonts w:hint="eastAsia" w:ascii="Times New Roman" w:hAnsi="Times New Roman" w:eastAsia="宋体" w:cs="Times New Roman"/>
                <w:sz w:val="24"/>
                <w:szCs w:val="24"/>
              </w:rPr>
              <w:t>”</w:t>
            </w:r>
            <w:r>
              <w:rPr>
                <w:rFonts w:ascii="Times New Roman" w:hAnsi="Times New Roman" w:eastAsia="宋体" w:cs="Times New Roman"/>
                <w:sz w:val="24"/>
                <w:szCs w:val="24"/>
              </w:rPr>
              <w:t>的方式，培养一批本土草原科技骨干。</w:t>
            </w:r>
          </w:p>
          <w:p w14:paraId="1B9F2919">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推进标准化建设，制定完善昌都市草原生态保护修复、牧草种植、草产品加工、草原监测评价等地方标准体系，规范草原保护修复和草业生产经营行为，提升行业整体发展水平。</w:t>
            </w:r>
          </w:p>
        </w:tc>
      </w:tr>
    </w:tbl>
    <w:p w14:paraId="589EF2F4">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96" w:name="_Toc1189"/>
      <w:r>
        <w:rPr>
          <w:rStyle w:val="28"/>
          <w:rFonts w:hint="default" w:ascii="Times New Roman"/>
          <w:color w:val="auto"/>
          <w:kern w:val="2"/>
          <w:sz w:val="32"/>
          <w:szCs w:val="32"/>
          <w:u w:val="none"/>
        </w:rPr>
        <w:t>草原灾害防控体系建设</w:t>
      </w:r>
      <w:bookmarkEnd w:id="96"/>
    </w:p>
    <w:p w14:paraId="5600CF68">
      <w:pPr>
        <w:pStyle w:val="4"/>
        <w:numPr>
          <w:ilvl w:val="2"/>
          <w:numId w:val="2"/>
        </w:numPr>
        <w:spacing w:before="120" w:after="120" w:line="360" w:lineRule="auto"/>
        <w:rPr>
          <w:rStyle w:val="28"/>
          <w:color w:val="auto"/>
          <w:sz w:val="28"/>
          <w:szCs w:val="28"/>
          <w:u w:val="none"/>
        </w:rPr>
      </w:pPr>
      <w:bookmarkStart w:id="97" w:name="_Toc4550"/>
      <w:r>
        <w:rPr>
          <w:rStyle w:val="28"/>
          <w:rFonts w:hint="eastAsia"/>
          <w:color w:val="auto"/>
          <w:sz w:val="28"/>
          <w:szCs w:val="28"/>
          <w:u w:val="none"/>
        </w:rPr>
        <w:t>草原火灾防控体系建设工程</w:t>
      </w:r>
      <w:bookmarkEnd w:id="97"/>
    </w:p>
    <w:p w14:paraId="34A22053">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（一）草原火险预警监测系统构建</w:t>
      </w:r>
    </w:p>
    <w:p w14:paraId="3589E5C1">
      <w:pPr>
        <w:spacing w:line="360" w:lineRule="auto"/>
        <w:ind w:left="27" w:firstLine="480" w:firstLineChars="200"/>
        <w:rPr>
          <w:rFonts w:ascii="宋体" w:hAnsi="宋体" w:eastAsia="宋体" w:cs="宋体"/>
          <w:sz w:val="24"/>
          <w:szCs w:val="24"/>
        </w:rPr>
      </w:pPr>
      <w:r>
        <w:rPr>
          <w:rFonts w:ascii="宋体" w:hAnsi="宋体" w:eastAsia="宋体" w:cs="宋体"/>
          <w:sz w:val="24"/>
          <w:szCs w:val="24"/>
        </w:rPr>
        <w:t>草原火险预警监测系统由前端系统、通信系统、信息指挥系统三大部 分组成。防火体系建设应体现“预防为主、积极消灭”的方针，同时火险预警监测系统建设应体现“绿色集约、综合管理”的原则，与“天空地”一体化林草监测预警体系可兼容部分，如部分前端感知系统、大数据中心等，采取一体化建设，同时，各项建设内容均应衔接森林防火建设内容，与森林防火建设协同推进，避免重复投资。</w:t>
      </w:r>
    </w:p>
    <w:p w14:paraId="1FE3956C">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1</w:t>
      </w:r>
      <w:r>
        <w:rPr>
          <w:rFonts w:ascii="宋体" w:hAnsi="宋体" w:eastAsia="宋体" w:cs="宋体"/>
          <w:sz w:val="24"/>
          <w:szCs w:val="24"/>
        </w:rPr>
        <w:t>）草原火险预警监测前端系统</w:t>
      </w:r>
    </w:p>
    <w:p w14:paraId="41915F4A">
      <w:pPr>
        <w:spacing w:line="360" w:lineRule="auto"/>
        <w:ind w:left="24" w:right="169" w:firstLine="480" w:firstLineChars="200"/>
        <w:rPr>
          <w:rFonts w:ascii="宋体" w:hAnsi="宋体" w:eastAsia="宋体" w:cs="宋体"/>
          <w:sz w:val="24"/>
          <w:szCs w:val="24"/>
        </w:rPr>
      </w:pPr>
      <w:r>
        <w:rPr>
          <w:rFonts w:ascii="宋体" w:hAnsi="宋体" w:eastAsia="宋体" w:cs="宋体"/>
          <w:sz w:val="24"/>
          <w:szCs w:val="24"/>
        </w:rPr>
        <w:t>前端系统包含火险预警监测系统和火险视频监控系统，根据火险预警每日定时自动观测、报送数据的需求，火险监测站应能够自动观测分层地表凋落物含水率（综合表层、内层）、土壤含水率、地表温度、地表湿度、地表物候状态，还能自动观测空气温度、空气湿度、风速、风向、雨量、光照度等火险因子等。</w:t>
      </w:r>
    </w:p>
    <w:p w14:paraId="60C10BD2">
      <w:pPr>
        <w:spacing w:line="360" w:lineRule="auto"/>
        <w:ind w:left="25" w:right="269" w:firstLine="480" w:firstLineChars="200"/>
        <w:rPr>
          <w:rFonts w:ascii="宋体" w:hAnsi="宋体" w:eastAsia="宋体" w:cs="宋体"/>
          <w:sz w:val="24"/>
          <w:szCs w:val="24"/>
        </w:rPr>
      </w:pPr>
      <w:r>
        <w:rPr>
          <w:rFonts w:ascii="宋体" w:hAnsi="宋体" w:eastAsia="宋体" w:cs="宋体"/>
          <w:sz w:val="24"/>
          <w:szCs w:val="24"/>
        </w:rPr>
        <w:t>考虑</w:t>
      </w:r>
      <w:r>
        <w:rPr>
          <w:rFonts w:hint="eastAsia" w:ascii="宋体" w:hAnsi="宋体" w:eastAsia="宋体" w:cs="宋体"/>
          <w:sz w:val="24"/>
          <w:szCs w:val="24"/>
        </w:rPr>
        <w:t>昌都市</w:t>
      </w:r>
      <w:r>
        <w:rPr>
          <w:rFonts w:ascii="宋体" w:hAnsi="宋体" w:eastAsia="宋体" w:cs="宋体"/>
          <w:sz w:val="24"/>
          <w:szCs w:val="24"/>
        </w:rPr>
        <w:t>行政区划、气候、物候、地貌类型、地形条件及草原类型等综合条件，结合监测站建设数量因素，为避免重复投资，将火险预警监测系统功能融合至“天空地”一体化林草监测预警体系的林草地面综合生态监测站统筹建设，即规划建设的林草地面综合生态监测站应具备火险监测站的功能。</w:t>
      </w:r>
    </w:p>
    <w:p w14:paraId="585F1D36">
      <w:pPr>
        <w:spacing w:line="360" w:lineRule="auto"/>
        <w:ind w:left="24" w:firstLine="480" w:firstLineChars="200"/>
        <w:rPr>
          <w:rFonts w:ascii="宋体" w:hAnsi="宋体" w:eastAsia="宋体" w:cs="宋体"/>
          <w:sz w:val="24"/>
          <w:szCs w:val="24"/>
        </w:rPr>
      </w:pPr>
      <w:r>
        <w:rPr>
          <w:rFonts w:ascii="宋体" w:hAnsi="宋体" w:eastAsia="宋体" w:cs="宋体"/>
          <w:sz w:val="24"/>
          <w:szCs w:val="24"/>
        </w:rPr>
        <w:t>结合</w:t>
      </w:r>
      <w:r>
        <w:rPr>
          <w:rFonts w:hint="eastAsia" w:ascii="宋体" w:hAnsi="宋体" w:eastAsia="宋体" w:cs="宋体"/>
          <w:sz w:val="24"/>
          <w:szCs w:val="24"/>
        </w:rPr>
        <w:t>昌都市</w:t>
      </w:r>
      <w:r>
        <w:rPr>
          <w:rFonts w:ascii="宋体" w:hAnsi="宋体" w:eastAsia="宋体" w:cs="宋体"/>
          <w:sz w:val="24"/>
          <w:szCs w:val="24"/>
        </w:rPr>
        <w:t>各地区前期已实施的火灾高危区（高风险区）综合治理工程和实际需求，按“填平补齐”原则，本次规划于草原资源分布集中、敏感性高、火源控制难度大等重点区域和重点部位布设火险远程视频监控点，形成集视频监控、智能预警、资源管理等功能模块无缝融合的综合性防火远程视频监控系统，该系统包括前端视频采集部分、前端供电部分和前端铁塔部分。前端视频采集部分包括：视频监控转台、视频服务器、室外机柜、数字气象站、转台安装支架、路由器和交换机等；前端供电部分包括：太阳能光伏板、蓄电池、控制器和电池柜等；前端铁塔包括：监控塔组件、热镀锌防腐、基础地网和彩钢房等。</w:t>
      </w:r>
    </w:p>
    <w:p w14:paraId="04C413F6">
      <w:pPr>
        <w:spacing w:line="360" w:lineRule="auto"/>
        <w:ind w:firstLine="480" w:firstLineChars="200"/>
        <w:rPr>
          <w:rFonts w:ascii="宋体" w:hAnsi="宋体" w:eastAsia="宋体" w:cs="宋体"/>
          <w:sz w:val="24"/>
          <w:szCs w:val="24"/>
        </w:rPr>
      </w:pPr>
      <w:r>
        <w:rPr>
          <w:rFonts w:ascii="宋体" w:hAnsi="宋体" w:eastAsia="宋体" w:cs="宋体"/>
          <w:sz w:val="24"/>
          <w:szCs w:val="24"/>
        </w:rPr>
        <w:t>（2）草原火险通信系统</w:t>
      </w:r>
    </w:p>
    <w:p w14:paraId="6D0E6AF2">
      <w:pPr>
        <w:spacing w:line="360" w:lineRule="auto"/>
        <w:ind w:left="24" w:right="151" w:firstLine="482" w:firstLineChars="200"/>
        <w:rPr>
          <w:rFonts w:ascii="宋体" w:hAnsi="宋体" w:eastAsia="宋体" w:cs="宋体"/>
          <w:sz w:val="24"/>
          <w:szCs w:val="24"/>
        </w:rPr>
      </w:pPr>
      <w:r>
        <w:rPr>
          <w:rFonts w:ascii="宋体" w:hAnsi="宋体" w:eastAsia="宋体" w:cs="宋体"/>
          <w:b/>
          <w:bCs/>
          <w:sz w:val="24"/>
          <w:szCs w:val="24"/>
        </w:rPr>
        <w:t>卫星通信网络。</w:t>
      </w:r>
      <w:r>
        <w:rPr>
          <w:rFonts w:ascii="宋体" w:hAnsi="宋体" w:eastAsia="宋体" w:cs="宋体"/>
          <w:sz w:val="24"/>
          <w:szCs w:val="24"/>
        </w:rPr>
        <w:t>建立起以北斗卫星系统为主的卫星通信系统，可实现扑火前指和各级指挥中心之间的多媒体通信，具有远程掌握火情、实时视频会商和调度指挥等功能。北斗卫星系统可全时空、全天候、高精度、连续实时地提供导航、定位和授时，并具备一定的短报文通信能力。无论是草火发生时的扑救指挥还是日常管理中的巡查，都需要北斗卫星系统提供的精确定位功能，保证草原防火指挥中心随时掌握一线人员的动态位置，还可保障指挥中心与一线人员的通信联络。</w:t>
      </w:r>
    </w:p>
    <w:p w14:paraId="535D2A72">
      <w:pPr>
        <w:spacing w:line="360" w:lineRule="auto"/>
        <w:ind w:left="25" w:right="215" w:firstLine="482" w:firstLineChars="200"/>
        <w:rPr>
          <w:rFonts w:ascii="宋体" w:hAnsi="宋体" w:eastAsia="宋体" w:cs="宋体"/>
          <w:sz w:val="24"/>
          <w:szCs w:val="24"/>
        </w:rPr>
      </w:pPr>
      <w:r>
        <w:rPr>
          <w:rFonts w:ascii="宋体" w:hAnsi="宋体" w:eastAsia="宋体" w:cs="宋体"/>
          <w:b/>
          <w:bCs/>
          <w:sz w:val="24"/>
          <w:szCs w:val="24"/>
        </w:rPr>
        <w:t>火场通信网络。</w:t>
      </w:r>
      <w:r>
        <w:rPr>
          <w:rFonts w:ascii="宋体" w:hAnsi="宋体" w:eastAsia="宋体" w:cs="宋体"/>
          <w:sz w:val="24"/>
          <w:szCs w:val="24"/>
        </w:rPr>
        <w:t>火场通信网络是解决草场到生态管护员、扑火前线到扑火队长（人员）的通信，实现火灾现场从扑救人员、队伍到前线指挥部所需要的数字语音、数据、文件、短信、图像、</w:t>
      </w:r>
      <w:r>
        <w:rPr>
          <w:rFonts w:ascii="Times New Roman" w:hAnsi="Times New Roman" w:eastAsia="Times New Roman" w:cs="Times New Roman"/>
          <w:sz w:val="24"/>
          <w:szCs w:val="24"/>
        </w:rPr>
        <w:t>GPS</w:t>
      </w:r>
      <w:r>
        <w:rPr>
          <w:rFonts w:ascii="宋体" w:hAnsi="宋体" w:eastAsia="宋体" w:cs="宋体"/>
          <w:sz w:val="24"/>
          <w:szCs w:val="24"/>
        </w:rPr>
        <w:t>定位、数据查询等多种业务应用。</w:t>
      </w:r>
    </w:p>
    <w:p w14:paraId="739F0EE8">
      <w:pPr>
        <w:spacing w:line="360" w:lineRule="auto"/>
        <w:ind w:firstLine="480" w:firstLineChars="200"/>
        <w:rPr>
          <w:rFonts w:ascii="宋体" w:hAnsi="宋体" w:eastAsia="宋体" w:cs="宋体"/>
          <w:sz w:val="24"/>
          <w:szCs w:val="24"/>
        </w:rPr>
      </w:pPr>
      <w:r>
        <w:rPr>
          <w:rFonts w:ascii="宋体" w:hAnsi="宋体" w:eastAsia="宋体" w:cs="宋体"/>
          <w:sz w:val="24"/>
          <w:szCs w:val="24"/>
        </w:rPr>
        <w:t>（3）草原火险信息指挥系统</w:t>
      </w:r>
    </w:p>
    <w:p w14:paraId="31429533">
      <w:pPr>
        <w:spacing w:line="360" w:lineRule="auto"/>
        <w:ind w:left="24" w:right="212" w:firstLine="480" w:firstLineChars="200"/>
        <w:rPr>
          <w:rFonts w:ascii="宋体" w:hAnsi="宋体" w:eastAsia="宋体" w:cs="宋体"/>
          <w:sz w:val="24"/>
          <w:szCs w:val="24"/>
        </w:rPr>
      </w:pPr>
      <w:r>
        <w:rPr>
          <w:rFonts w:ascii="宋体" w:hAnsi="宋体" w:eastAsia="宋体" w:cs="宋体"/>
          <w:sz w:val="24"/>
          <w:szCs w:val="24"/>
        </w:rPr>
        <w:t>防火通信和草原火险信息指挥系统建设是提升草原防火综合指挥调度能力的基础，是提升草原火灾防控能力、增强业务管理水平的重要支撑和保障。规划期内，围绕草原防火指挥调度、应急处置、防火值班等关键环节，建立贯通全市上下的草原防火指挥调度体系，建成可靠高效的应急处置平台，全面提升指挥调度能力，实现草原火灾防控现代化、应急响应快速化、管理工作规范化、扑救工作科学化。</w:t>
      </w:r>
    </w:p>
    <w:p w14:paraId="23004263">
      <w:pPr>
        <w:spacing w:line="360" w:lineRule="auto"/>
        <w:ind w:firstLine="482" w:firstLineChars="200"/>
        <w:rPr>
          <w:rStyle w:val="27"/>
          <w:rFonts w:hint="eastAsia" w:ascii="Times New Roman" w:hAnsi="Times New Roman"/>
          <w:b/>
          <w:bCs w:val="0"/>
          <w:sz w:val="24"/>
          <w:szCs w:val="24"/>
          <w:shd w:val="clear" w:color="auto" w:fill="FFFFFF"/>
        </w:rPr>
      </w:pPr>
      <w:bookmarkStart w:id="98" w:name="bookmark113"/>
      <w:bookmarkEnd w:id="98"/>
      <w:r>
        <w:rPr>
          <w:rStyle w:val="27"/>
          <w:rFonts w:hint="eastAsia" w:ascii="Times New Roman" w:hAnsi="Times New Roman"/>
          <w:b/>
          <w:bCs w:val="0"/>
          <w:sz w:val="24"/>
          <w:szCs w:val="24"/>
          <w:shd w:val="clear" w:color="auto" w:fill="FFFFFF"/>
        </w:rPr>
        <w:t>（二）草火阻隔系统建设</w:t>
      </w:r>
    </w:p>
    <w:p w14:paraId="2DB6CED0">
      <w:pPr>
        <w:spacing w:line="360" w:lineRule="auto"/>
        <w:ind w:left="25" w:right="2" w:firstLine="480" w:firstLineChars="200"/>
        <w:rPr>
          <w:rFonts w:ascii="宋体" w:hAnsi="宋体" w:eastAsia="宋体" w:cs="宋体"/>
          <w:sz w:val="24"/>
          <w:szCs w:val="24"/>
        </w:rPr>
      </w:pPr>
      <w:r>
        <w:rPr>
          <w:rFonts w:ascii="宋体" w:hAnsi="宋体" w:eastAsia="宋体" w:cs="宋体"/>
          <w:sz w:val="24"/>
          <w:szCs w:val="24"/>
        </w:rPr>
        <w:t>充分利用河流、水塘、岩石裸露地带等天然防火障碍物，和铁路、公路等人为障碍物，布设防火隔离带，建成草火阻隔系统，形成完整的阻隔网络体系。人工阻隔道分为工程隔离和生物隔离</w:t>
      </w:r>
      <w:r>
        <w:rPr>
          <w:rFonts w:ascii="Times New Roman" w:hAnsi="Times New Roman" w:eastAsia="Times New Roman" w:cs="Times New Roman"/>
          <w:sz w:val="24"/>
          <w:szCs w:val="24"/>
        </w:rPr>
        <w:t>2</w:t>
      </w:r>
      <w:r>
        <w:rPr>
          <w:rFonts w:ascii="宋体" w:hAnsi="宋体" w:eastAsia="宋体" w:cs="宋体"/>
          <w:sz w:val="24"/>
          <w:szCs w:val="24"/>
        </w:rPr>
        <w:t>种，根据</w:t>
      </w:r>
      <w:r>
        <w:rPr>
          <w:rFonts w:hint="eastAsia" w:ascii="宋体" w:hAnsi="宋体" w:eastAsia="宋体" w:cs="宋体"/>
          <w:sz w:val="24"/>
          <w:szCs w:val="24"/>
        </w:rPr>
        <w:t>昌都市</w:t>
      </w:r>
      <w:r>
        <w:rPr>
          <w:rFonts w:ascii="宋体" w:hAnsi="宋体" w:eastAsia="宋体" w:cs="宋体"/>
          <w:sz w:val="24"/>
          <w:szCs w:val="24"/>
        </w:rPr>
        <w:t>实际和地形地貌特征，人工阻隔道以工程隔离为主，工程隔离主要以防火道路为主。</w:t>
      </w:r>
    </w:p>
    <w:p w14:paraId="7644FD9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（三）草原防火能力建设</w:t>
      </w:r>
    </w:p>
    <w:p w14:paraId="41EDBEEA">
      <w:pPr>
        <w:spacing w:line="360" w:lineRule="auto"/>
        <w:ind w:left="25" w:right="2" w:firstLine="480" w:firstLineChars="200"/>
        <w:rPr>
          <w:rFonts w:ascii="宋体" w:hAnsi="宋体" w:eastAsia="宋体" w:cs="宋体"/>
          <w:sz w:val="24"/>
          <w:szCs w:val="24"/>
        </w:rPr>
      </w:pPr>
      <w:r>
        <w:rPr>
          <w:rFonts w:ascii="宋体" w:hAnsi="宋体" w:eastAsia="宋体" w:cs="宋体"/>
          <w:sz w:val="24"/>
          <w:szCs w:val="24"/>
        </w:rPr>
        <w:t>草原防火能力建设应按需建设，充分利用已有建设设施，按“填平补齐”原则进行规划，设施设备的配备应与森林防火设施设备协同，避免重复投资。</w:t>
      </w:r>
    </w:p>
    <w:p w14:paraId="572A3B5A">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1</w:t>
      </w:r>
      <w:r>
        <w:rPr>
          <w:rFonts w:ascii="宋体" w:hAnsi="宋体" w:eastAsia="宋体" w:cs="宋体"/>
          <w:sz w:val="24"/>
          <w:szCs w:val="24"/>
        </w:rPr>
        <w:t>）防火队伍建设</w:t>
      </w:r>
    </w:p>
    <w:p w14:paraId="395E13DB">
      <w:pPr>
        <w:spacing w:line="360" w:lineRule="auto"/>
        <w:ind w:left="30" w:firstLine="480" w:firstLineChars="200"/>
        <w:rPr>
          <w:rFonts w:ascii="宋体" w:hAnsi="宋体" w:eastAsia="宋体" w:cs="宋体"/>
          <w:sz w:val="24"/>
          <w:szCs w:val="24"/>
        </w:rPr>
      </w:pPr>
      <w:r>
        <w:rPr>
          <w:rFonts w:ascii="宋体" w:hAnsi="宋体" w:eastAsia="宋体" w:cs="宋体"/>
          <w:sz w:val="24"/>
          <w:szCs w:val="24"/>
        </w:rPr>
        <w:t>根据</w:t>
      </w:r>
      <w:r>
        <w:rPr>
          <w:rFonts w:hint="eastAsia" w:ascii="宋体" w:hAnsi="宋体" w:eastAsia="宋体" w:cs="宋体"/>
          <w:sz w:val="24"/>
          <w:szCs w:val="24"/>
        </w:rPr>
        <w:t>昌都市</w:t>
      </w:r>
      <w:r>
        <w:rPr>
          <w:rFonts w:ascii="宋体" w:hAnsi="宋体" w:eastAsia="宋体" w:cs="宋体"/>
          <w:sz w:val="24"/>
          <w:szCs w:val="24"/>
        </w:rPr>
        <w:t>草原、森林资源分布、火灾危险等级、防火队伍的专业化与社会化相结合建设等现状，参照《森林消防专业队伍建设标准》的防火队伍建设要求，新增一些地方专业扑火队员和半专业扑火队员。</w:t>
      </w:r>
    </w:p>
    <w:p w14:paraId="7BBE42A8">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2</w:t>
      </w:r>
      <w:r>
        <w:rPr>
          <w:rFonts w:ascii="宋体" w:hAnsi="宋体" w:eastAsia="宋体" w:cs="宋体"/>
          <w:sz w:val="24"/>
          <w:szCs w:val="24"/>
        </w:rPr>
        <w:t>）防火设备装备配备</w:t>
      </w:r>
    </w:p>
    <w:p w14:paraId="250AE306">
      <w:pPr>
        <w:spacing w:line="360" w:lineRule="auto"/>
        <w:ind w:left="27" w:right="2" w:firstLine="480" w:firstLineChars="200"/>
        <w:rPr>
          <w:rFonts w:ascii="宋体" w:hAnsi="宋体" w:eastAsia="宋体" w:cs="宋体"/>
          <w:sz w:val="24"/>
          <w:szCs w:val="24"/>
        </w:rPr>
      </w:pPr>
      <w:r>
        <w:rPr>
          <w:rFonts w:ascii="宋体" w:hAnsi="宋体" w:eastAsia="宋体" w:cs="宋体"/>
          <w:sz w:val="24"/>
          <w:szCs w:val="24"/>
        </w:rPr>
        <w:t>本着实用性与先进性相结合的原则，根据</w:t>
      </w:r>
      <w:r>
        <w:rPr>
          <w:rFonts w:hint="eastAsia" w:ascii="宋体" w:hAnsi="宋体" w:eastAsia="宋体" w:cs="宋体"/>
          <w:sz w:val="24"/>
          <w:szCs w:val="24"/>
        </w:rPr>
        <w:t>全市</w:t>
      </w:r>
      <w:r>
        <w:rPr>
          <w:rFonts w:ascii="宋体" w:hAnsi="宋体" w:eastAsia="宋体" w:cs="宋体"/>
          <w:sz w:val="24"/>
          <w:szCs w:val="24"/>
        </w:rPr>
        <w:t>专业、半专业扑火队员建设规模，因地制宜地配备队伍设备和队员基本装备，装备包括各种防火车辆，专业扑火队伍装备，单兵防护装备、扑火机具、安全防护等。</w:t>
      </w:r>
    </w:p>
    <w:p w14:paraId="35ECCC6D">
      <w:pPr>
        <w:spacing w:line="360" w:lineRule="auto"/>
        <w:ind w:firstLine="480" w:firstLineChars="200"/>
        <w:rPr>
          <w:rFonts w:ascii="宋体" w:hAnsi="宋体" w:eastAsia="宋体" w:cs="宋体"/>
          <w:sz w:val="24"/>
          <w:szCs w:val="24"/>
        </w:rPr>
      </w:pPr>
      <w:r>
        <w:rPr>
          <w:rFonts w:ascii="宋体" w:hAnsi="宋体" w:eastAsia="宋体" w:cs="宋体"/>
          <w:sz w:val="24"/>
          <w:szCs w:val="24"/>
        </w:rPr>
        <w:t>（</w:t>
      </w:r>
      <w:r>
        <w:rPr>
          <w:rFonts w:ascii="Times New Roman" w:hAnsi="Times New Roman" w:eastAsia="Times New Roman" w:cs="Times New Roman"/>
          <w:sz w:val="24"/>
          <w:szCs w:val="24"/>
        </w:rPr>
        <w:t>3</w:t>
      </w:r>
      <w:r>
        <w:rPr>
          <w:rFonts w:ascii="宋体" w:hAnsi="宋体" w:eastAsia="宋体" w:cs="宋体"/>
          <w:sz w:val="24"/>
          <w:szCs w:val="24"/>
        </w:rPr>
        <w:t>）防火基础设施建设</w:t>
      </w:r>
    </w:p>
    <w:p w14:paraId="0902D1D2">
      <w:pPr>
        <w:spacing w:line="360" w:lineRule="auto"/>
        <w:ind w:left="26" w:right="2" w:firstLine="480" w:firstLineChars="200"/>
        <w:rPr>
          <w:rFonts w:ascii="宋体" w:hAnsi="宋体" w:eastAsia="宋体" w:cs="宋体"/>
          <w:sz w:val="24"/>
          <w:szCs w:val="24"/>
        </w:rPr>
      </w:pPr>
      <w:r>
        <w:rPr>
          <w:rFonts w:ascii="宋体" w:hAnsi="宋体" w:eastAsia="宋体" w:cs="宋体"/>
          <w:sz w:val="24"/>
          <w:szCs w:val="24"/>
        </w:rPr>
        <w:t>为了切实建立防火长效机制，加强专业防火队伍管理建设，参照《森林消防专业队伍建设标准》《森林防火物资储备库工程项目建设标准》，建设靠前驻防营房与训练场、防火物资储备库、消防水池等草原防火基础设施，草原防火基础设施建设应与森林防火基础设施建设协同，避免重复建设，消防水池应建在重点牧区的关键位置。</w:t>
      </w:r>
    </w:p>
    <w:p w14:paraId="54F7F432">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w:t>
      </w:r>
      <w:r>
        <w:rPr>
          <w:rFonts w:ascii="宋体" w:hAnsi="宋体" w:eastAsia="宋体" w:cs="宋体"/>
          <w:sz w:val="24"/>
          <w:szCs w:val="24"/>
        </w:rPr>
        <w:t>智慧防火平台建设</w:t>
      </w:r>
    </w:p>
    <w:p w14:paraId="48063B2B">
      <w:pPr>
        <w:spacing w:line="360" w:lineRule="auto"/>
        <w:ind w:left="25" w:right="2" w:firstLine="480" w:firstLineChars="200"/>
        <w:rPr>
          <w:rFonts w:ascii="宋体" w:hAnsi="宋体" w:eastAsia="宋体" w:cs="宋体"/>
          <w:sz w:val="24"/>
          <w:szCs w:val="24"/>
        </w:rPr>
      </w:pPr>
      <w:r>
        <w:rPr>
          <w:rFonts w:ascii="宋体" w:hAnsi="宋体" w:eastAsia="宋体" w:cs="宋体"/>
          <w:sz w:val="24"/>
          <w:szCs w:val="24"/>
        </w:rPr>
        <w:t>依托昌都市草原生态保护智慧监管系统，搭建草原火灾应急指挥子平台，整合火情监测、预警信息、队伍调度、物资储备、应急路线等数据资源，实现火情定位、态势分析、指令下达、资源调度的智能化管理，提升火灾应急指挥效率。同时，完善草原火灾应急预案体系，制定市、县（区）、乡（镇）三级草原火灾应急预案，明确应急响应流程、职责分工和处置措施；加强防火宣传教育，通过发放宣传手册、播放公益广告、开展“防火宣传进牧户”活动等形式，提高牧民群众防火意识和自救能力，营造“人人参与防火、共同守护草原”的良好氛围。</w:t>
      </w:r>
    </w:p>
    <w:p w14:paraId="39690887">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（四）草原防火宣传教育体系建设</w:t>
      </w:r>
    </w:p>
    <w:p w14:paraId="191ED1F1">
      <w:pPr>
        <w:spacing w:line="360" w:lineRule="auto"/>
        <w:ind w:left="25" w:firstLine="480" w:firstLineChars="200"/>
        <w:rPr>
          <w:rFonts w:ascii="宋体" w:hAnsi="宋体" w:eastAsia="宋体" w:cs="宋体"/>
          <w:sz w:val="24"/>
          <w:szCs w:val="24"/>
        </w:rPr>
      </w:pPr>
      <w:r>
        <w:rPr>
          <w:rFonts w:ascii="宋体" w:hAnsi="宋体" w:eastAsia="宋体" w:cs="宋体"/>
          <w:sz w:val="24"/>
          <w:szCs w:val="24"/>
        </w:rPr>
        <w:t>草原火灾多数由人类活动引起，开展防火宣传教育，提高群众的草原防火意识，加强火源管理，消除火灾隐患，是草原防火工作的首要任务。全面开展草原防火宣传教育，利用中国草原保护日、世界环境日、全国防灾减灾日等各类节日，开展草原防火宣传教育活动，切实提高广大公众的防火积极性，最终达到群防群治、全民参与的森林草原防火氛围。在交通要道、重点草原区等敏感地段配置宣教、管控等设施设备，管控设施设备应和森林防火宣传协同建设，避免重复投资。</w:t>
      </w:r>
    </w:p>
    <w:p w14:paraId="02184150">
      <w:pPr>
        <w:pStyle w:val="4"/>
        <w:numPr>
          <w:ilvl w:val="2"/>
          <w:numId w:val="2"/>
        </w:numPr>
        <w:spacing w:before="120" w:after="120" w:line="360" w:lineRule="auto"/>
        <w:rPr>
          <w:rStyle w:val="28"/>
          <w:color w:val="auto"/>
          <w:sz w:val="28"/>
          <w:szCs w:val="28"/>
          <w:u w:val="none"/>
        </w:rPr>
      </w:pPr>
      <w:bookmarkStart w:id="99" w:name="_Toc13079"/>
      <w:r>
        <w:rPr>
          <w:rStyle w:val="28"/>
          <w:rFonts w:hint="eastAsia"/>
          <w:color w:val="auto"/>
          <w:sz w:val="28"/>
          <w:szCs w:val="28"/>
          <w:u w:val="none"/>
        </w:rPr>
        <w:t>草原有害生物与自然灾害防治工程</w:t>
      </w:r>
      <w:bookmarkEnd w:id="99"/>
    </w:p>
    <w:p w14:paraId="4DB044C0">
      <w:pPr>
        <w:spacing w:line="360" w:lineRule="auto"/>
        <w:ind w:left="24" w:right="21" w:firstLine="480" w:firstLineChars="200"/>
        <w:rPr>
          <w:rFonts w:ascii="宋体" w:hAnsi="宋体" w:eastAsia="宋体" w:cs="宋体"/>
          <w:sz w:val="24"/>
          <w:szCs w:val="24"/>
        </w:rPr>
      </w:pPr>
      <w:r>
        <w:rPr>
          <w:rFonts w:hint="eastAsia" w:ascii="宋体" w:hAnsi="宋体" w:eastAsia="宋体" w:cs="宋体"/>
          <w:sz w:val="24"/>
          <w:szCs w:val="24"/>
        </w:rPr>
        <w:t>昌都市</w:t>
      </w:r>
      <w:r>
        <w:rPr>
          <w:rFonts w:ascii="宋体" w:hAnsi="宋体" w:eastAsia="宋体" w:cs="宋体"/>
          <w:sz w:val="24"/>
          <w:szCs w:val="24"/>
        </w:rPr>
        <w:t>的草原有害生物以草原毛虫、蝗虫、叶甲类昆虫、草原鼠害等为主，部分地区存在外来有害生物入侵和野生动物疫源疫病发生的情况，自然灾害受地理条件影响，自然灾害以地质灾害为主，对草原影响较大的灾害主要是偶有发生的雪灾。本规划的灾害防治主要针对草原有害生物和气象灾害，灾害防治要坚持兴利除害、防灾减灾并重、治标治本兼顾、政府社会协同，提高对灾害的综合防范和抵御能力。推广生物防治、生态调控等绿色防控技术，重点推广天敌昆虫防治、微生物农药防治、轮牧休牧调控等技术，减少化学药剂使用，保护草原生态环境。草原有害生物防治、气象灾害防治建设包含灾害预警体系、防灾减灾与应急救援体系两部分，规划如下：</w:t>
      </w:r>
    </w:p>
    <w:p w14:paraId="59473EB5">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（一）监测预警体系建设</w:t>
      </w:r>
    </w:p>
    <w:p w14:paraId="4017368C">
      <w:pPr>
        <w:spacing w:line="360" w:lineRule="auto"/>
        <w:ind w:left="25" w:right="21" w:firstLine="480" w:firstLineChars="200"/>
        <w:rPr>
          <w:rFonts w:ascii="宋体" w:hAnsi="宋体" w:eastAsia="宋体" w:cs="宋体"/>
          <w:sz w:val="24"/>
          <w:szCs w:val="24"/>
        </w:rPr>
      </w:pPr>
      <w:r>
        <w:rPr>
          <w:rFonts w:ascii="宋体" w:hAnsi="宋体" w:eastAsia="宋体" w:cs="宋体"/>
          <w:sz w:val="24"/>
          <w:szCs w:val="24"/>
        </w:rPr>
        <w:t>加强预测预报是搞好灾害防治工作的前提，为贯彻预防为主的方针，应把防治重点从过去的“治”为主转变到“防”的轨道上来。对于草原有害生物的防治，以</w:t>
      </w:r>
      <w:r>
        <w:rPr>
          <w:rFonts w:hint="eastAsia" w:ascii="宋体" w:hAnsi="宋体" w:eastAsia="宋体" w:cs="宋体"/>
          <w:sz w:val="24"/>
          <w:szCs w:val="24"/>
        </w:rPr>
        <w:t>昌都市</w:t>
      </w:r>
      <w:r>
        <w:rPr>
          <w:rFonts w:ascii="宋体" w:hAnsi="宋体" w:eastAsia="宋体" w:cs="宋体"/>
          <w:sz w:val="24"/>
          <w:szCs w:val="24"/>
        </w:rPr>
        <w:t>“天空地”一体化林草监测预警系统为基础，落实草原生态管护员的核查测报责任，建立与牧民联防联控协作机制，构建完善的草原有害生物监测预警体系，根据预警核查结果制定防治措施和方法，达到“治早治小”，保证草原正常生长。对于气象灾害的监测预警，建立与气象局的气象预警协同运作模式，加强灾害预警能力。在规划期内，依托</w:t>
      </w:r>
      <w:r>
        <w:rPr>
          <w:rFonts w:hint="eastAsia" w:ascii="宋体" w:hAnsi="宋体" w:eastAsia="宋体" w:cs="宋体"/>
          <w:sz w:val="24"/>
          <w:szCs w:val="24"/>
        </w:rPr>
        <w:t>昌都市</w:t>
      </w:r>
      <w:r>
        <w:rPr>
          <w:rFonts w:ascii="宋体" w:hAnsi="宋体" w:eastAsia="宋体" w:cs="宋体"/>
          <w:sz w:val="24"/>
          <w:szCs w:val="24"/>
        </w:rPr>
        <w:t>大数据中心建设灾害预测预报中心，基本建成较完备的草原有害生物监测预警体</w:t>
      </w:r>
      <w:r>
        <w:rPr>
          <w:rFonts w:hint="eastAsia" w:ascii="宋体" w:hAnsi="宋体" w:eastAsia="宋体" w:cs="宋体"/>
          <w:sz w:val="24"/>
          <w:szCs w:val="24"/>
        </w:rPr>
        <w:t>系。</w:t>
      </w:r>
    </w:p>
    <w:p w14:paraId="104848F3">
      <w:pPr>
        <w:spacing w:line="360" w:lineRule="auto"/>
        <w:ind w:firstLine="482" w:firstLineChars="200"/>
        <w:rPr>
          <w:rStyle w:val="27"/>
          <w:rFonts w:hint="eastAsia" w:ascii="Times New Roman" w:hAnsi="Times New Roman"/>
          <w:b/>
          <w:bCs w:val="0"/>
          <w:sz w:val="24"/>
          <w:szCs w:val="24"/>
          <w:shd w:val="clear" w:color="auto" w:fill="FFFFFF"/>
        </w:rPr>
      </w:pPr>
      <w:r>
        <w:rPr>
          <w:rStyle w:val="27"/>
          <w:rFonts w:hint="eastAsia" w:ascii="Times New Roman" w:hAnsi="Times New Roman"/>
          <w:b/>
          <w:bCs w:val="0"/>
          <w:sz w:val="24"/>
          <w:szCs w:val="24"/>
          <w:shd w:val="clear" w:color="auto" w:fill="FFFFFF"/>
        </w:rPr>
        <w:t>（二）防灾减灾与应急救援体系建设</w:t>
      </w:r>
    </w:p>
    <w:p w14:paraId="16C32FA6">
      <w:pPr>
        <w:spacing w:line="360" w:lineRule="auto"/>
        <w:ind w:left="24" w:right="11" w:firstLine="480" w:firstLineChars="200"/>
        <w:rPr>
          <w:rFonts w:ascii="宋体" w:hAnsi="宋体" w:eastAsia="宋体" w:cs="宋体"/>
          <w:sz w:val="24"/>
          <w:szCs w:val="24"/>
        </w:rPr>
      </w:pPr>
      <w:r>
        <w:rPr>
          <w:rFonts w:ascii="宋体" w:hAnsi="宋体" w:eastAsia="宋体" w:cs="宋体"/>
          <w:sz w:val="24"/>
          <w:szCs w:val="24"/>
        </w:rPr>
        <w:t>规划在主要草原，建设草原有害生物防治减灾站点，防治减灾站点配备必要的药剂、器械，以保证草原有害生物成灾或外来物种入侵成灾时，能及时防治和处理，减少草原病虫鼠害等造成的损失。结合各地棚圈与饲料仓库建设现状，以平急两用为原则，兼顾平时和应急使用需求，以补充建设的方式，分别在</w:t>
      </w:r>
      <w:r>
        <w:rPr>
          <w:rFonts w:hint="eastAsia" w:ascii="宋体" w:hAnsi="宋体" w:eastAsia="宋体" w:cs="宋体"/>
          <w:sz w:val="24"/>
          <w:szCs w:val="24"/>
        </w:rPr>
        <w:t>昌都市</w:t>
      </w:r>
      <w:r>
        <w:rPr>
          <w:rFonts w:ascii="宋体" w:hAnsi="宋体" w:eastAsia="宋体" w:cs="宋体"/>
          <w:sz w:val="24"/>
          <w:szCs w:val="24"/>
        </w:rPr>
        <w:t>、各纯牧区乡镇驻地和行政村建设饲草供应与防灾物资应急储备库，分别在各纯牧区行政村分别建设能繁母畜标准化越冬暖棚。饲草供应与防灾物资储备库主要用于存放饲草，储备量应保证灾区</w:t>
      </w:r>
      <w:r>
        <w:rPr>
          <w:rFonts w:ascii="Times New Roman" w:hAnsi="Times New Roman" w:eastAsia="Times New Roman" w:cs="Times New Roman"/>
          <w:sz w:val="24"/>
          <w:szCs w:val="24"/>
        </w:rPr>
        <w:t>10</w:t>
      </w:r>
      <w:r>
        <w:rPr>
          <w:rFonts w:ascii="宋体" w:hAnsi="宋体" w:eastAsia="宋体" w:cs="宋体"/>
          <w:sz w:val="24"/>
          <w:szCs w:val="24"/>
        </w:rPr>
        <w:t>天内未舍饲能繁母畜应急救灾补饲需要，在气象灾害发生时，确保农牧户家畜安全越冬度春，减少畜牧业经济损失；能繁母畜标准化越冬暖棚，采用村级建设模式，以改变当前牲畜棚圈建设标准低、保温条件差、不能满足冬春接羔需要的现状，提高仔畜成活率。</w:t>
      </w:r>
    </w:p>
    <w:p w14:paraId="546D5FC7">
      <w:pPr>
        <w:spacing w:line="360" w:lineRule="auto"/>
        <w:ind w:left="24" w:right="11" w:firstLine="480" w:firstLineChars="200"/>
        <w:rPr>
          <w:rFonts w:ascii="宋体" w:hAnsi="宋体" w:eastAsia="宋体" w:cs="宋体"/>
          <w:sz w:val="24"/>
          <w:szCs w:val="24"/>
        </w:rPr>
      </w:pPr>
      <w:r>
        <w:rPr>
          <w:rFonts w:ascii="宋体" w:hAnsi="宋体" w:eastAsia="宋体" w:cs="宋体"/>
          <w:sz w:val="24"/>
          <w:szCs w:val="24"/>
        </w:rPr>
        <w:t>提升灾害综合处置能力，建立跨区域、跨部门灾害应急联动机制，加强与气象、应急管理、公安、消防等部门的协作，建立灾害预警预报信息共享平台，做好灾害预警预报和应急救援保障。加强灾害防控技术培训，每年组织开展不少于1次的基层工作人员和牧民群众灾害防控技术培训，提高灾害识别、监测预警和应急处置能力。建立灾害损失评估机制，制定草原灾害损失评估标准，及时开展灾害损失调查和评估，为灾后恢复重建提供科学依据。</w:t>
      </w:r>
    </w:p>
    <w:tbl>
      <w:tblPr>
        <w:tblStyle w:val="47"/>
        <w:tblW w:w="89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55"/>
      </w:tblGrid>
      <w:tr w14:paraId="647CD9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8955" w:type="dxa"/>
            <w:shd w:val="clear" w:color="auto" w:fill="auto"/>
          </w:tcPr>
          <w:p w14:paraId="2341AF15">
            <w:pPr>
              <w:pStyle w:val="46"/>
              <w:spacing w:before="69" w:line="228" w:lineRule="auto"/>
              <w:rPr>
                <w:sz w:val="24"/>
                <w:szCs w:val="24"/>
                <w:lang w:eastAsia="zh-CN"/>
              </w:rPr>
            </w:pPr>
            <w:r>
              <w:rPr>
                <w:b/>
                <w:bCs/>
                <w:sz w:val="24"/>
                <w:szCs w:val="24"/>
                <w:lang w:eastAsia="zh-CN"/>
              </w:rPr>
              <w:t>专栏6-4草原灾害防控体系建设工程</w:t>
            </w:r>
          </w:p>
        </w:tc>
      </w:tr>
      <w:tr w14:paraId="7182A7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82" w:hRule="atLeast"/>
        </w:trPr>
        <w:tc>
          <w:tcPr>
            <w:tcW w:w="8955" w:type="dxa"/>
          </w:tcPr>
          <w:p w14:paraId="1645C81C">
            <w:pPr>
              <w:pStyle w:val="46"/>
              <w:spacing w:line="360" w:lineRule="auto"/>
              <w:ind w:left="131" w:firstLine="480" w:firstLineChars="200"/>
              <w:rPr>
                <w:sz w:val="24"/>
                <w:szCs w:val="24"/>
                <w:lang w:eastAsia="zh-CN"/>
              </w:rPr>
            </w:pPr>
            <w:r>
              <w:rPr>
                <w:sz w:val="24"/>
                <w:szCs w:val="24"/>
                <w:lang w:eastAsia="zh-CN"/>
              </w:rPr>
              <w:t>1.草原火灾防控体系建设工程。</w:t>
            </w:r>
          </w:p>
          <w:p w14:paraId="03BF5785">
            <w:pPr>
              <w:pStyle w:val="46"/>
              <w:spacing w:line="360" w:lineRule="auto"/>
              <w:ind w:left="117" w:right="108" w:firstLine="480" w:firstLineChars="200"/>
              <w:rPr>
                <w:sz w:val="24"/>
                <w:szCs w:val="24"/>
                <w:lang w:eastAsia="zh-CN"/>
              </w:rPr>
            </w:pPr>
            <w:r>
              <w:rPr>
                <w:sz w:val="24"/>
                <w:szCs w:val="24"/>
                <w:lang w:eastAsia="zh-CN"/>
              </w:rPr>
              <w:t>（1）草原火险预警监测系统。规划建设草原火险远程视频监控点，结合林草地面综合生态监测站实现火险监测站功能。</w:t>
            </w:r>
          </w:p>
          <w:p w14:paraId="02BD3662">
            <w:pPr>
              <w:pStyle w:val="46"/>
              <w:spacing w:line="360" w:lineRule="auto"/>
              <w:ind w:left="132" w:right="108" w:firstLine="480" w:firstLineChars="200"/>
              <w:rPr>
                <w:sz w:val="24"/>
                <w:szCs w:val="24"/>
                <w:lang w:eastAsia="zh-CN"/>
              </w:rPr>
            </w:pPr>
            <w:r>
              <w:rPr>
                <w:sz w:val="24"/>
                <w:szCs w:val="24"/>
                <w:lang w:eastAsia="zh-CN"/>
              </w:rPr>
              <w:t>（2）卫星通信网络。规划建设卫星通信网络，含北斗指挥机系统、北斗车载台（机载台）、北斗手持机等。</w:t>
            </w:r>
          </w:p>
          <w:p w14:paraId="4B9154AE">
            <w:pPr>
              <w:pStyle w:val="46"/>
              <w:spacing w:line="360" w:lineRule="auto"/>
              <w:ind w:left="115" w:right="108" w:firstLine="480" w:firstLineChars="200"/>
              <w:rPr>
                <w:sz w:val="24"/>
                <w:szCs w:val="24"/>
                <w:lang w:eastAsia="zh-CN"/>
              </w:rPr>
            </w:pPr>
            <w:r>
              <w:rPr>
                <w:sz w:val="24"/>
                <w:szCs w:val="24"/>
                <w:lang w:eastAsia="zh-CN"/>
              </w:rPr>
              <w:t>（3）火场通信网络。规划建设火场通信网络，含数字超短波固定基站、数字超短波基地台、背负台、车载台、语音网关、手持台等。</w:t>
            </w:r>
          </w:p>
          <w:p w14:paraId="56CB2B18">
            <w:pPr>
              <w:pStyle w:val="46"/>
              <w:spacing w:line="360" w:lineRule="auto"/>
              <w:ind w:left="115" w:right="108" w:firstLine="480" w:firstLineChars="200"/>
              <w:rPr>
                <w:sz w:val="24"/>
                <w:szCs w:val="24"/>
                <w:lang w:eastAsia="zh-CN"/>
              </w:rPr>
            </w:pPr>
            <w:r>
              <w:rPr>
                <w:sz w:val="24"/>
                <w:szCs w:val="24"/>
                <w:lang w:eastAsia="zh-CN"/>
              </w:rPr>
              <w:t>（4）草原火险信息指挥系统。依托森林防火指挥中心，融入草原防火功能，实施防火指挥中心进行升级改造。在“天空地”一体化林草监测预警系统的大数据中心和信息化管理平台实现草火识别。</w:t>
            </w:r>
          </w:p>
          <w:p w14:paraId="0A397F26">
            <w:pPr>
              <w:pStyle w:val="46"/>
              <w:spacing w:line="360" w:lineRule="auto"/>
              <w:ind w:left="126" w:firstLine="480" w:firstLineChars="200"/>
              <w:rPr>
                <w:sz w:val="24"/>
                <w:szCs w:val="24"/>
                <w:lang w:eastAsia="zh-CN"/>
              </w:rPr>
            </w:pPr>
            <w:r>
              <w:rPr>
                <w:sz w:val="24"/>
                <w:szCs w:val="24"/>
                <w:lang w:eastAsia="zh-CN"/>
              </w:rPr>
              <w:t>（</w:t>
            </w:r>
            <w:r>
              <w:rPr>
                <w:rFonts w:hint="eastAsia"/>
                <w:sz w:val="24"/>
                <w:szCs w:val="24"/>
                <w:lang w:eastAsia="zh-CN"/>
              </w:rPr>
              <w:t>5</w:t>
            </w:r>
            <w:r>
              <w:rPr>
                <w:sz w:val="24"/>
                <w:szCs w:val="24"/>
                <w:lang w:eastAsia="zh-CN"/>
              </w:rPr>
              <w:t>）草火阻隔系统建设。规划在草原火灾高发区关键地段新建防火应急通道20公里。</w:t>
            </w:r>
          </w:p>
          <w:p w14:paraId="66ECAE29">
            <w:pPr>
              <w:pStyle w:val="46"/>
              <w:spacing w:line="360" w:lineRule="auto"/>
              <w:ind w:left="116" w:right="38" w:firstLine="480" w:firstLineChars="200"/>
              <w:rPr>
                <w:sz w:val="24"/>
                <w:szCs w:val="24"/>
                <w:lang w:eastAsia="zh-CN"/>
              </w:rPr>
            </w:pPr>
            <w:r>
              <w:rPr>
                <w:sz w:val="24"/>
                <w:szCs w:val="24"/>
                <w:lang w:eastAsia="zh-CN"/>
              </w:rPr>
              <w:t>（</w:t>
            </w:r>
            <w:r>
              <w:rPr>
                <w:rFonts w:hint="eastAsia"/>
                <w:sz w:val="24"/>
                <w:szCs w:val="24"/>
                <w:lang w:eastAsia="zh-CN"/>
              </w:rPr>
              <w:t>6</w:t>
            </w:r>
            <w:r>
              <w:rPr>
                <w:sz w:val="24"/>
                <w:szCs w:val="24"/>
                <w:lang w:eastAsia="zh-CN"/>
              </w:rPr>
              <w:t>）草原防火能力建设。根据地方实际需求新增地方专业扑火队员及半专业扑火队员若干人；依托森林防火能力，拟新采购专业防火设备 1 项，含各种防火车辆、专业扑火队伍装备、单兵防护装备、扑火机具类、安全防护类、野外生存类等；拟对已有森林防火基础设施进行提升改造，改造范围含靠前驻防营房、靠前队伍训练场地、防火物资储备库、消防水池等。</w:t>
            </w:r>
          </w:p>
          <w:p w14:paraId="3A8DCBD8">
            <w:pPr>
              <w:pStyle w:val="46"/>
              <w:spacing w:line="360" w:lineRule="auto"/>
              <w:ind w:left="116" w:right="38" w:firstLine="480" w:firstLineChars="200"/>
              <w:rPr>
                <w:sz w:val="24"/>
                <w:szCs w:val="24"/>
                <w:lang w:eastAsia="zh-CN"/>
              </w:rPr>
            </w:pPr>
            <w:r>
              <w:rPr>
                <w:sz w:val="24"/>
                <w:szCs w:val="24"/>
                <w:lang w:eastAsia="zh-CN"/>
              </w:rPr>
              <w:t>（</w:t>
            </w:r>
            <w:r>
              <w:rPr>
                <w:rFonts w:hint="eastAsia"/>
                <w:sz w:val="24"/>
                <w:szCs w:val="24"/>
                <w:lang w:eastAsia="zh-CN"/>
              </w:rPr>
              <w:t>7</w:t>
            </w:r>
            <w:r>
              <w:rPr>
                <w:sz w:val="24"/>
                <w:szCs w:val="24"/>
                <w:lang w:eastAsia="zh-CN"/>
              </w:rPr>
              <w:t>）草原火灾受害率控制在2‰以内。</w:t>
            </w:r>
          </w:p>
          <w:p w14:paraId="5390A9CC">
            <w:pPr>
              <w:pStyle w:val="46"/>
              <w:spacing w:line="360" w:lineRule="auto"/>
              <w:ind w:left="118" w:firstLine="480" w:firstLineChars="200"/>
              <w:rPr>
                <w:sz w:val="24"/>
                <w:szCs w:val="24"/>
                <w:lang w:eastAsia="zh-CN"/>
              </w:rPr>
            </w:pPr>
            <w:r>
              <w:rPr>
                <w:sz w:val="24"/>
                <w:szCs w:val="24"/>
                <w:lang w:eastAsia="zh-CN"/>
              </w:rPr>
              <w:t>2.草原有害生物与自然灾害防治工程。</w:t>
            </w:r>
          </w:p>
          <w:p w14:paraId="7EC8BD88">
            <w:pPr>
              <w:pStyle w:val="46"/>
              <w:spacing w:line="360" w:lineRule="auto"/>
              <w:ind w:left="117" w:right="108" w:firstLine="480" w:firstLineChars="200"/>
              <w:rPr>
                <w:sz w:val="24"/>
                <w:szCs w:val="24"/>
                <w:lang w:eastAsia="zh-CN"/>
              </w:rPr>
            </w:pPr>
            <w:r>
              <w:rPr>
                <w:sz w:val="24"/>
                <w:szCs w:val="24"/>
                <w:lang w:eastAsia="zh-CN"/>
              </w:rPr>
              <w:t>（1）监测预警体系建设。依托那昌都市“天空地”一体化林草监测预警系统进行草原有害生物监测预警，结合草原生态管护员实地核查测报，并建立与牧民联防联控协作机制；通过与气象局的气象预警协同运作，实现气象灾害监测预警。灾害测报站点依托区里的大数据中心完成。</w:t>
            </w:r>
          </w:p>
          <w:p w14:paraId="151A27C8">
            <w:pPr>
              <w:pStyle w:val="46"/>
              <w:spacing w:line="360" w:lineRule="auto"/>
              <w:ind w:left="115" w:right="107" w:firstLine="480" w:firstLineChars="200"/>
              <w:rPr>
                <w:sz w:val="24"/>
                <w:szCs w:val="24"/>
                <w:lang w:eastAsia="zh-CN"/>
              </w:rPr>
            </w:pPr>
            <w:r>
              <w:rPr>
                <w:sz w:val="24"/>
                <w:szCs w:val="24"/>
                <w:lang w:eastAsia="zh-CN"/>
              </w:rPr>
              <w:t>（2）防治减灾与应急救援体系建设。建设 草原有害生物防治减灾站点，采购 有害生物防治设施设备。配备虫情测报灯、鼠密度监测设备等，定期开展监测调查，及时掌握鼠虫病害发生动态，发布预警信息。推广生物防治、生态调控等绿色防控技术，重点推广天敌昆虫防治、微生物农药防治、轮牧休牧调控等技术，减少化学药剂使用，保护草原生态环境。储备足量的防治物资，在重点县（区）建设5个鼠虫病害防治物资储备点，建立快速防治机制，一旦发生鼠虫病害，及时组织开展防治工作，控制灾害蔓延。</w:t>
            </w:r>
          </w:p>
        </w:tc>
      </w:tr>
    </w:tbl>
    <w:p w14:paraId="093A878D"/>
    <w:p w14:paraId="3DD69E7F">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00" w:name="_Toc15672"/>
      <w:r>
        <w:rPr>
          <w:rStyle w:val="28"/>
          <w:rFonts w:hint="default" w:ascii="Times New Roman"/>
          <w:color w:val="auto"/>
          <w:kern w:val="2"/>
          <w:sz w:val="32"/>
          <w:szCs w:val="32"/>
          <w:u w:val="none"/>
        </w:rPr>
        <w:t>草原基层能力建设</w:t>
      </w:r>
      <w:bookmarkEnd w:id="100"/>
    </w:p>
    <w:p w14:paraId="2AC9526F">
      <w:pPr>
        <w:spacing w:line="360" w:lineRule="auto"/>
        <w:ind w:firstLine="480" w:firstLineChars="200"/>
        <w:rPr>
          <w:sz w:val="24"/>
          <w:szCs w:val="24"/>
        </w:rPr>
      </w:pPr>
      <w:r>
        <w:rPr>
          <w:rFonts w:ascii="宋体" w:hAnsi="宋体" w:eastAsia="宋体" w:cs="宋体"/>
          <w:sz w:val="24"/>
          <w:szCs w:val="24"/>
        </w:rPr>
        <w:t>夯实基层基础，提升基层草原保护修复和草业发展的组织管理、服务保障能力，筑牢草原治理的“最后一公里”。一是健全基层管理体系，进一步完善市、县（区）、乡（镇）、村（社）四级草原管理体系，明确各级职责分工，落实草原管护责任。在重点草原村（社）设立草原管护员、监督员，实行网格化管理，实现草原管护全覆盖。二是加强基层队伍建设，开展基层草原管理人员、管护员业务培训，重点培训草原法律法规、政策文件、管护技能、监测方法等内容，提升基层队伍的专业素质和履职能力。建立健全基层管护人员激励机制，提高其工作积极性和主动性。三是完善基层基础设施，加大对基层草原管护站点、监测站点、服务中心等基础设施建设的投入，改善基层工作条件。配备必要的办公设备、监测工具、交通工具等，提升基层服务保障能力。四是强化基层宣传引导，依托基层组织，通过召开群众大会、发放宣传资料、悬挂横幅、利用微信群等多种形式，广泛宣传草原生态保护的法律法规、政策措施、重要意义，提高牧民群众的生态保护意识，引导牧民群众自觉参与草原保护修复和草业发展。</w:t>
      </w:r>
    </w:p>
    <w:p w14:paraId="6D92AFDC">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01" w:name="_Toc15372"/>
      <w:r>
        <w:rPr>
          <w:rStyle w:val="28"/>
          <w:rFonts w:hint="default" w:ascii="Times New Roman"/>
          <w:color w:val="auto"/>
          <w:kern w:val="2"/>
          <w:sz w:val="32"/>
          <w:szCs w:val="32"/>
          <w:u w:val="none"/>
        </w:rPr>
        <w:t>生态价值转换机制建设</w:t>
      </w:r>
      <w:bookmarkEnd w:id="101"/>
    </w:p>
    <w:p w14:paraId="4E95CC1C">
      <w:pPr>
        <w:spacing w:before="91" w:line="364" w:lineRule="auto"/>
        <w:ind w:right="2" w:firstLine="480" w:firstLineChars="200"/>
        <w:rPr>
          <w:rFonts w:ascii="宋体" w:hAnsi="宋体" w:eastAsia="宋体" w:cs="宋体"/>
          <w:sz w:val="24"/>
          <w:szCs w:val="24"/>
        </w:rPr>
      </w:pPr>
      <w:r>
        <w:rPr>
          <w:rFonts w:ascii="宋体" w:hAnsi="宋体" w:eastAsia="宋体" w:cs="宋体"/>
          <w:sz w:val="24"/>
          <w:szCs w:val="24"/>
        </w:rPr>
        <w:t>实现生态产品价值转换需建立一套系统的机制体制，包括生态产品调查监测机制、生态产品价值评价机制、生态产品经营开发机制、生态产品保护补偿机制、生态产品价值实现保障机制</w:t>
      </w:r>
      <w:r>
        <w:rPr>
          <w:rFonts w:hint="eastAsia" w:ascii="宋体" w:hAnsi="宋体" w:eastAsia="宋体" w:cs="宋体"/>
          <w:sz w:val="24"/>
          <w:szCs w:val="24"/>
        </w:rPr>
        <w:t>、推进草原碳汇交易</w:t>
      </w:r>
      <w:r>
        <w:rPr>
          <w:rFonts w:ascii="宋体" w:hAnsi="宋体" w:eastAsia="宋体" w:cs="宋体"/>
          <w:sz w:val="24"/>
          <w:szCs w:val="24"/>
        </w:rPr>
        <w:t>机制</w:t>
      </w:r>
      <w:r>
        <w:rPr>
          <w:rFonts w:hint="eastAsia" w:ascii="宋体" w:hAnsi="宋体" w:eastAsia="宋体" w:cs="宋体"/>
          <w:sz w:val="24"/>
          <w:szCs w:val="24"/>
          <w:lang w:eastAsia="zh-CN"/>
        </w:rPr>
        <w:t>等</w:t>
      </w:r>
      <w:r>
        <w:rPr>
          <w:rFonts w:hint="eastAsia" w:ascii="宋体" w:hAnsi="宋体" w:eastAsia="宋体" w:cs="宋体"/>
          <w:sz w:val="24"/>
          <w:szCs w:val="24"/>
          <w:lang w:val="en-US" w:eastAsia="zh-CN"/>
        </w:rPr>
        <w:t>6个</w:t>
      </w:r>
      <w:r>
        <w:rPr>
          <w:rFonts w:ascii="宋体" w:hAnsi="宋体" w:eastAsia="宋体" w:cs="宋体"/>
          <w:sz w:val="24"/>
          <w:szCs w:val="24"/>
        </w:rPr>
        <w:t>方面。</w:t>
      </w:r>
    </w:p>
    <w:p w14:paraId="7F114310">
      <w:pPr>
        <w:pStyle w:val="4"/>
        <w:numPr>
          <w:ilvl w:val="2"/>
          <w:numId w:val="2"/>
        </w:numPr>
        <w:spacing w:before="120" w:after="120" w:line="360" w:lineRule="auto"/>
        <w:rPr>
          <w:rStyle w:val="28"/>
          <w:color w:val="auto"/>
          <w:sz w:val="28"/>
          <w:szCs w:val="28"/>
          <w:u w:val="none"/>
        </w:rPr>
      </w:pPr>
      <w:bookmarkStart w:id="102" w:name="_Toc29082"/>
      <w:r>
        <w:rPr>
          <w:rStyle w:val="28"/>
          <w:rFonts w:hint="eastAsia"/>
          <w:color w:val="auto"/>
          <w:sz w:val="28"/>
          <w:szCs w:val="28"/>
          <w:u w:val="none"/>
        </w:rPr>
        <w:t>生态产品调查监测机制建设</w:t>
      </w:r>
      <w:bookmarkEnd w:id="102"/>
    </w:p>
    <w:p w14:paraId="74F143C0">
      <w:pPr>
        <w:spacing w:before="91" w:line="360" w:lineRule="auto"/>
        <w:ind w:right="151" w:firstLine="480" w:firstLineChars="200"/>
        <w:rPr>
          <w:rFonts w:ascii="宋体" w:hAnsi="宋体" w:eastAsia="宋体" w:cs="宋体"/>
          <w:sz w:val="24"/>
          <w:szCs w:val="24"/>
        </w:rPr>
      </w:pPr>
      <w:r>
        <w:rPr>
          <w:rFonts w:ascii="宋体" w:hAnsi="宋体" w:eastAsia="宋体" w:cs="宋体"/>
          <w:sz w:val="24"/>
          <w:szCs w:val="24"/>
        </w:rPr>
        <w:t>生态产品调查监测机制包含自然资源确权登记和生态产品信息普查两方面工作。</w:t>
      </w:r>
      <w:r>
        <w:rPr>
          <w:rFonts w:hint="eastAsia" w:ascii="宋体" w:hAnsi="宋体" w:eastAsia="宋体" w:cs="宋体"/>
          <w:sz w:val="24"/>
          <w:szCs w:val="24"/>
        </w:rPr>
        <w:t>昌都市</w:t>
      </w:r>
      <w:r>
        <w:rPr>
          <w:rFonts w:ascii="宋体" w:hAnsi="宋体" w:eastAsia="宋体" w:cs="宋体"/>
          <w:sz w:val="24"/>
          <w:szCs w:val="24"/>
        </w:rPr>
        <w:t>的自然资源确权登记在西藏自治区自然资源厅的统一组织下，已在开展中，此项工作不纳入本次规划投资。建立生态产品基础信息普查和动态监测制度，依托自然资源和生态环境调查监测结果，每五</w:t>
      </w:r>
      <w:r>
        <w:rPr>
          <w:rFonts w:hint="eastAsia" w:ascii="宋体" w:hAnsi="宋体" w:eastAsia="宋体" w:cs="宋体"/>
          <w:sz w:val="24"/>
          <w:szCs w:val="24"/>
        </w:rPr>
        <w:t>年组织一次生态产品基础信息普查工作，以全市为基本调查单元，利用网格化监测、数字化等手段，开展生态产品构成、数量、质量等情况调查，编制形成生态产品目录清单；在完成普查的基础上，每年组织开展一次生态产品基础信息动态监测，对生态产品目录清单进行动态调整。</w:t>
      </w:r>
    </w:p>
    <w:p w14:paraId="417ECE3B">
      <w:pPr>
        <w:pStyle w:val="4"/>
        <w:numPr>
          <w:ilvl w:val="2"/>
          <w:numId w:val="2"/>
        </w:numPr>
        <w:spacing w:before="120" w:after="120" w:line="360" w:lineRule="auto"/>
        <w:rPr>
          <w:rStyle w:val="28"/>
          <w:color w:val="auto"/>
          <w:sz w:val="28"/>
          <w:szCs w:val="28"/>
          <w:u w:val="none"/>
        </w:rPr>
      </w:pPr>
      <w:bookmarkStart w:id="103" w:name="_Toc23997"/>
      <w:r>
        <w:rPr>
          <w:rStyle w:val="28"/>
          <w:rFonts w:hint="eastAsia"/>
          <w:color w:val="auto"/>
          <w:sz w:val="28"/>
          <w:szCs w:val="28"/>
          <w:u w:val="none"/>
        </w:rPr>
        <w:t>生态产品价值核算制度建设</w:t>
      </w:r>
      <w:bookmarkEnd w:id="103"/>
    </w:p>
    <w:p w14:paraId="61F0D6E1">
      <w:pPr>
        <w:spacing w:before="91" w:line="360" w:lineRule="auto"/>
        <w:ind w:right="151" w:firstLine="480" w:firstLineChars="200"/>
        <w:rPr>
          <w:rFonts w:ascii="宋体" w:hAnsi="宋体" w:eastAsia="宋体" w:cs="宋体"/>
          <w:sz w:val="24"/>
          <w:szCs w:val="24"/>
        </w:rPr>
      </w:pPr>
      <w:r>
        <w:rPr>
          <w:rFonts w:ascii="宋体" w:hAnsi="宋体" w:eastAsia="宋体" w:cs="宋体"/>
          <w:sz w:val="24"/>
          <w:szCs w:val="24"/>
        </w:rPr>
        <w:t>生态产品价值核算</w:t>
      </w:r>
      <w:r>
        <w:rPr>
          <w:rFonts w:hint="eastAsia" w:ascii="宋体" w:hAnsi="宋体" w:eastAsia="宋体" w:cs="宋体"/>
          <w:sz w:val="24"/>
          <w:szCs w:val="24"/>
        </w:rPr>
        <w:t>是将自然生态系统所提供的所有产品与服务，用货币的形式计算出其总价值。昌都市</w:t>
      </w:r>
      <w:r>
        <w:rPr>
          <w:rFonts w:ascii="宋体" w:hAnsi="宋体" w:eastAsia="宋体" w:cs="宋体"/>
          <w:sz w:val="24"/>
          <w:szCs w:val="24"/>
        </w:rPr>
        <w:t>的生态产品价值核算分为两个阶段。第一阶段，开展生态产品价值核算试点，在生态产品基础信息普查基础上，根据目前已有的草原生态系统服务价值的核算方法、技术规范，结合</w:t>
      </w:r>
      <w:r>
        <w:rPr>
          <w:rFonts w:hint="eastAsia" w:ascii="宋体" w:hAnsi="宋体" w:eastAsia="宋体" w:cs="宋体"/>
          <w:sz w:val="24"/>
          <w:szCs w:val="24"/>
        </w:rPr>
        <w:t>昌都市</w:t>
      </w:r>
      <w:r>
        <w:rPr>
          <w:rFonts w:ascii="宋体" w:hAnsi="宋体" w:eastAsia="宋体" w:cs="宋体"/>
          <w:sz w:val="24"/>
          <w:szCs w:val="24"/>
        </w:rPr>
        <w:t>草原资源特点，选取</w:t>
      </w:r>
      <w:r>
        <w:rPr>
          <w:rFonts w:hint="eastAsia" w:ascii="宋体" w:hAnsi="宋体" w:eastAsia="宋体" w:cs="宋体"/>
          <w:sz w:val="24"/>
          <w:szCs w:val="24"/>
          <w:lang w:eastAsia="zh-CN"/>
        </w:rPr>
        <w:t>丁青县、江达县、八宿县等为</w:t>
      </w:r>
      <w:r>
        <w:rPr>
          <w:rFonts w:ascii="宋体" w:hAnsi="宋体" w:eastAsia="宋体" w:cs="宋体"/>
          <w:sz w:val="24"/>
          <w:szCs w:val="24"/>
        </w:rPr>
        <w:t>试点，核算出草原的生态系统调节服务、畜牧产品生态、文化服务等的价值，建立反映</w:t>
      </w:r>
      <w:r>
        <w:rPr>
          <w:rFonts w:hint="eastAsia" w:ascii="宋体" w:hAnsi="宋体" w:eastAsia="宋体" w:cs="宋体"/>
          <w:sz w:val="24"/>
          <w:szCs w:val="24"/>
        </w:rPr>
        <w:t>昌都市</w:t>
      </w:r>
      <w:r>
        <w:rPr>
          <w:rFonts w:ascii="宋体" w:hAnsi="宋体" w:eastAsia="宋体" w:cs="宋体"/>
          <w:sz w:val="24"/>
          <w:szCs w:val="24"/>
        </w:rPr>
        <w:t>草原生态产品保护和开发成本的价值核算方法，并初步探索体现市场供需关系的生态产品价格形成机制；第二阶段，建立相对科学的生态产品价值核算与应用制度，在</w:t>
      </w:r>
      <w:r>
        <w:rPr>
          <w:rFonts w:hint="eastAsia" w:ascii="宋体" w:hAnsi="宋体" w:eastAsia="宋体" w:cs="宋体"/>
          <w:sz w:val="24"/>
          <w:szCs w:val="24"/>
        </w:rPr>
        <w:t>全市</w:t>
      </w:r>
      <w:r>
        <w:rPr>
          <w:rFonts w:ascii="宋体" w:hAnsi="宋体" w:eastAsia="宋体" w:cs="宋体"/>
          <w:sz w:val="24"/>
          <w:szCs w:val="24"/>
        </w:rPr>
        <w:t>内开展草原生态产品价值核算，推进核算结果在政府决策、绩效考核评价、生态保护补偿、生态环境损害赔偿、经营开发融资、生态资源权益交易等方面的应用，探索多元化的草原生态价值转化路径和模式。</w:t>
      </w:r>
    </w:p>
    <w:p w14:paraId="38E8116C">
      <w:pPr>
        <w:pStyle w:val="4"/>
        <w:numPr>
          <w:ilvl w:val="2"/>
          <w:numId w:val="2"/>
        </w:numPr>
        <w:spacing w:before="120" w:after="120" w:line="360" w:lineRule="auto"/>
        <w:rPr>
          <w:rStyle w:val="28"/>
          <w:color w:val="auto"/>
          <w:sz w:val="28"/>
          <w:szCs w:val="28"/>
          <w:u w:val="none"/>
        </w:rPr>
      </w:pPr>
      <w:bookmarkStart w:id="104" w:name="_Toc18977"/>
      <w:r>
        <w:rPr>
          <w:rStyle w:val="28"/>
          <w:rFonts w:hint="eastAsia"/>
          <w:color w:val="auto"/>
          <w:sz w:val="28"/>
          <w:szCs w:val="28"/>
          <w:u w:val="none"/>
        </w:rPr>
        <w:t>生态产品经营开发机制建设</w:t>
      </w:r>
      <w:bookmarkEnd w:id="104"/>
    </w:p>
    <w:p w14:paraId="3C9C379F">
      <w:pPr>
        <w:spacing w:line="360" w:lineRule="auto"/>
        <w:ind w:firstLine="480" w:firstLineChars="200"/>
        <w:rPr>
          <w:rFonts w:ascii="宋体" w:hAnsi="宋体" w:eastAsia="宋体" w:cs="宋体"/>
          <w:sz w:val="24"/>
          <w:szCs w:val="24"/>
        </w:rPr>
      </w:pPr>
      <w:r>
        <w:rPr>
          <w:rFonts w:ascii="宋体" w:hAnsi="宋体" w:eastAsia="宋体" w:cs="宋体"/>
          <w:sz w:val="24"/>
          <w:szCs w:val="24"/>
        </w:rPr>
        <w:t>建立全面的生态产品经营开发机制。一是研究建立生态产品交易中心，研究制定生态产品交易管理办法，打造全域协同、全流程覆盖的生态产品市场交易服务体系。二是拓展生态产品转化路径和模式，根据</w:t>
      </w:r>
      <w:r>
        <w:rPr>
          <w:rFonts w:hint="eastAsia" w:ascii="宋体" w:hAnsi="宋体" w:eastAsia="宋体" w:cs="宋体"/>
          <w:sz w:val="24"/>
          <w:szCs w:val="24"/>
        </w:rPr>
        <w:t>昌都市</w:t>
      </w:r>
      <w:r>
        <w:rPr>
          <w:rFonts w:ascii="宋体" w:hAnsi="宋体" w:eastAsia="宋体" w:cs="宋体"/>
          <w:sz w:val="24"/>
          <w:szCs w:val="24"/>
        </w:rPr>
        <w:t>草原资源特点，出台制度，明确不同区域生态产业的发展方向、目标和重点任务，引导和推动生态产业的发展；多方面强化政策支持，鼓励、引导和支持生态产品经营开发，建立政府引导、企业和社会各界参与、市场化运营的生态资源资产经营管理平台。三是立足</w:t>
      </w:r>
      <w:r>
        <w:rPr>
          <w:rFonts w:hint="eastAsia" w:ascii="宋体" w:hAnsi="宋体" w:eastAsia="宋体" w:cs="宋体"/>
          <w:sz w:val="24"/>
          <w:szCs w:val="24"/>
        </w:rPr>
        <w:t>昌都市</w:t>
      </w:r>
      <w:r>
        <w:rPr>
          <w:rFonts w:ascii="宋体" w:hAnsi="宋体" w:eastAsia="宋体" w:cs="宋体"/>
          <w:sz w:val="24"/>
          <w:szCs w:val="24"/>
        </w:rPr>
        <w:t>生态资源特色、优势草原生态资源及生态产品供给，建立和规范生态产品认证评价标准，加强生态产品品牌培育和保护，提升生态产品溢价。在加强草原生态保护修复的基础上，推动康巴类乌齐牦牛、阿旺绵羊等地方优特色畜牧产品基地建设，建设特色鲜明的生态产品品牌；依托已有地理标识保护产品，扩大关联产业链产品建设，提高生态产品辐射力，形成产业集群效应。</w:t>
      </w:r>
      <w:r>
        <w:rPr>
          <w:rFonts w:hint="eastAsia" w:ascii="宋体" w:hAnsi="宋体" w:eastAsia="宋体" w:cs="宋体"/>
          <w:sz w:val="24"/>
          <w:szCs w:val="24"/>
        </w:rPr>
        <w:t>同时</w:t>
      </w:r>
      <w:r>
        <w:rPr>
          <w:rFonts w:ascii="宋体" w:hAnsi="宋体" w:eastAsia="宋体" w:cs="宋体"/>
          <w:sz w:val="24"/>
          <w:szCs w:val="24"/>
        </w:rPr>
        <w:t>发展生态旅游与康养产业，依托昌都市独特的草原生态景观、民俗文化资源，打造一批草原生态旅游精品线路和景区景点，发展生态观光、民俗体验、草原康养等产业。规范草原旅游开发行为，避免过度开发对草原生态造成破坏，实现生态保护与旅游发展双赢。</w:t>
      </w:r>
    </w:p>
    <w:p w14:paraId="0942FBF1">
      <w:pPr>
        <w:pStyle w:val="4"/>
        <w:numPr>
          <w:ilvl w:val="2"/>
          <w:numId w:val="2"/>
        </w:numPr>
        <w:spacing w:before="120" w:after="120" w:line="360" w:lineRule="auto"/>
        <w:rPr>
          <w:rStyle w:val="28"/>
          <w:color w:val="auto"/>
          <w:sz w:val="28"/>
          <w:szCs w:val="28"/>
          <w:u w:val="none"/>
        </w:rPr>
      </w:pPr>
      <w:bookmarkStart w:id="105" w:name="_Toc11521"/>
      <w:r>
        <w:rPr>
          <w:rStyle w:val="28"/>
          <w:rFonts w:hint="eastAsia"/>
          <w:color w:val="auto"/>
          <w:sz w:val="28"/>
          <w:szCs w:val="28"/>
          <w:u w:val="none"/>
        </w:rPr>
        <w:t>生态产品保护补偿机制建设</w:t>
      </w:r>
      <w:bookmarkEnd w:id="105"/>
    </w:p>
    <w:p w14:paraId="1BEAA1C1">
      <w:pPr>
        <w:spacing w:line="360" w:lineRule="auto"/>
        <w:ind w:firstLine="480" w:firstLineChars="200"/>
        <w:rPr>
          <w:rFonts w:ascii="宋体" w:hAnsi="宋体" w:eastAsia="宋体" w:cs="宋体"/>
          <w:sz w:val="24"/>
          <w:szCs w:val="24"/>
        </w:rPr>
      </w:pPr>
      <w:r>
        <w:rPr>
          <w:rFonts w:ascii="宋体" w:hAnsi="宋体" w:eastAsia="宋体" w:cs="宋体"/>
          <w:sz w:val="24"/>
          <w:szCs w:val="24"/>
        </w:rPr>
        <w:t>建立多元化的生态产品保护补偿机制。建立政策资金发放与任务落实考核挂钩机制，加强禁牧和草畜平衡制度落实的监督管理。支持有条件的生态保护地区政府和社会资本按市场化原则共同发起区域性绿色发展基金，支持</w:t>
      </w:r>
      <w:r>
        <w:rPr>
          <w:rFonts w:hint="eastAsia" w:ascii="宋体" w:hAnsi="宋体" w:eastAsia="宋体" w:cs="宋体"/>
          <w:sz w:val="24"/>
          <w:szCs w:val="24"/>
        </w:rPr>
        <w:t>以特许经营模式规范操作的绿色产业项目，</w:t>
      </w:r>
      <w:r>
        <w:rPr>
          <w:rFonts w:ascii="宋体" w:hAnsi="宋体" w:eastAsia="宋体" w:cs="宋体"/>
          <w:sz w:val="24"/>
          <w:szCs w:val="24"/>
        </w:rPr>
        <w:t>鼓励有条件的非金融企业和金融机构发行绿色债券，鼓励保险机构创新绿色保险产品，探索绿色保险参与生态保护补偿的途径。落实草原生态奖补政策，根据不同地区生态重要性、脆弱性、草原类型、草原退化程度，合理优化草畜平衡区和禁牧区，并根据禁牧、轮牧、休牧等情况，给予牧民经济补偿，以补偿其因休牧造成的生产成本增加部分。根据国家行业主管部门相关工作进展和要求，适时探索建立野生动物争食牧民草场补贴政策。结合国家对口援藏政策，与产业发达地区结对合作，建立生态受益地区与生态保护地区的横向生态保护补偿机制，从而协调和平衡生态保护地区和生态受益地区的利益关系，充分调动生态保护积极性。</w:t>
      </w:r>
    </w:p>
    <w:p w14:paraId="2ED942FC">
      <w:pPr>
        <w:pStyle w:val="4"/>
        <w:numPr>
          <w:ilvl w:val="2"/>
          <w:numId w:val="2"/>
        </w:numPr>
        <w:spacing w:before="120" w:after="120" w:line="360" w:lineRule="auto"/>
        <w:rPr>
          <w:rStyle w:val="28"/>
          <w:color w:val="auto"/>
          <w:sz w:val="28"/>
          <w:szCs w:val="28"/>
          <w:u w:val="none"/>
        </w:rPr>
      </w:pPr>
      <w:bookmarkStart w:id="106" w:name="_Toc7402"/>
      <w:r>
        <w:rPr>
          <w:rStyle w:val="28"/>
          <w:rFonts w:hint="eastAsia"/>
          <w:color w:val="auto"/>
          <w:sz w:val="28"/>
          <w:szCs w:val="28"/>
          <w:u w:val="none"/>
        </w:rPr>
        <w:t>生态产品价值转换保障机制建设</w:t>
      </w:r>
      <w:bookmarkEnd w:id="106"/>
    </w:p>
    <w:p w14:paraId="5F8CC4D8">
      <w:pPr>
        <w:spacing w:before="91" w:line="363" w:lineRule="auto"/>
        <w:ind w:right="71" w:firstLine="480" w:firstLineChars="200"/>
        <w:rPr>
          <w:rFonts w:ascii="宋体" w:hAnsi="宋体" w:eastAsia="宋体" w:cs="宋体"/>
          <w:sz w:val="24"/>
          <w:szCs w:val="24"/>
        </w:rPr>
      </w:pPr>
      <w:r>
        <w:rPr>
          <w:rFonts w:ascii="宋体" w:hAnsi="宋体" w:eastAsia="宋体" w:cs="宋体"/>
          <w:sz w:val="24"/>
          <w:szCs w:val="24"/>
        </w:rPr>
        <w:t>健全生态产品价值转换保障机制。结合“林草长制”考核制度，推动落实生态产品供给能力、环境质量提升、生态保护成效等方面的制度体系建设，压实党政领导工作责任，通过及时调度、督察，进一步加大工作力度，深化生态产品价值转换保障机制。推动将生态产品价值核算结果作为领导干部自然资源资产离任审计的重要参考。对任期内造成生态产品总值严重下降的，依规依纪依法追究有关党政领导干部责任。制定生态环境保护鼓励政策如生态积分政策、生态违法违纪失信政策等，并根据积分情况提供生态产品优惠服务和应用场景，以引导、激励企业、社会组织和个人提高环境保护意识，积极参与环境保护，拓展生态产品价值转换方式。在防范金融风险前提下，鼓励金融机构探索和开发针对生态产品的保险产品，积极参与绿色金融业务，推广“GEP贷”“生态贷”等做法，加大对生态产品经营开发主体中长期贷款支持力度，在参与生态保护补偿的同时能够保障生态产品不受损害。探索“生态资产权益抵押+项目贷”模式，鼓励企业和个人依法依规开展草地资源使用权抵押、产品订单抵押等绿色信贷业务。</w:t>
      </w:r>
    </w:p>
    <w:p w14:paraId="7B8F5073">
      <w:pPr>
        <w:pStyle w:val="4"/>
        <w:numPr>
          <w:ilvl w:val="2"/>
          <w:numId w:val="2"/>
        </w:numPr>
        <w:spacing w:before="120" w:after="120" w:line="360" w:lineRule="auto"/>
        <w:rPr>
          <w:rStyle w:val="28"/>
          <w:color w:val="auto"/>
          <w:sz w:val="28"/>
          <w:szCs w:val="28"/>
          <w:u w:val="none"/>
        </w:rPr>
      </w:pPr>
      <w:bookmarkStart w:id="107" w:name="_Toc4480"/>
      <w:r>
        <w:rPr>
          <w:rStyle w:val="28"/>
          <w:rFonts w:hint="eastAsia"/>
          <w:color w:val="auto"/>
          <w:sz w:val="28"/>
          <w:szCs w:val="28"/>
          <w:u w:val="none"/>
        </w:rPr>
        <w:t>推进草原碳汇交易</w:t>
      </w:r>
      <w:bookmarkEnd w:id="107"/>
    </w:p>
    <w:p w14:paraId="2F97CDB5">
      <w:pPr>
        <w:spacing w:before="91" w:line="363" w:lineRule="auto"/>
        <w:ind w:left="22" w:right="71" w:firstLine="480" w:firstLineChars="200"/>
        <w:rPr>
          <w:rFonts w:ascii="宋体" w:hAnsi="宋体" w:eastAsia="宋体" w:cs="宋体"/>
          <w:sz w:val="24"/>
          <w:szCs w:val="24"/>
        </w:rPr>
      </w:pPr>
      <w:r>
        <w:rPr>
          <w:rFonts w:ascii="宋体" w:hAnsi="宋体" w:eastAsia="宋体" w:cs="宋体"/>
          <w:sz w:val="24"/>
          <w:szCs w:val="24"/>
        </w:rPr>
        <w:t>开展昌都市草原碳汇资源调查、核算，建立草原碳汇监测核算体系，制定草原碳汇项目开发标准和方法学。积极争取纳入国家、自治区碳汇交易市场，培育草原碳汇项目开发主体，推动草原碳汇交易试点，实现草原生态价值市场化变现。</w:t>
      </w:r>
    </w:p>
    <w:p w14:paraId="0210B955">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草原作为昌都市重要的陆地生态系统与生态安全屏障，其碳汇功能是实现“双碳” 目标与生态产品价值转化的核心载体。立足藏东草原资源禀赋，紧扣国家“双碳” 战略及西藏自治区“积极探索以林草碳汇为抓手的生态价值转化机制”部署，以科学开发、规范交易、生态富民为导向，系统推进草原碳汇交易工作，助力形成“生态保护-碳汇增值-民生改善”的良性循环。</w:t>
      </w:r>
    </w:p>
    <w:p w14:paraId="611B75FE">
      <w:pPr>
        <w:spacing w:line="360" w:lineRule="auto"/>
        <w:ind w:firstLine="482" w:firstLineChars="200"/>
        <w:rPr>
          <w:rFonts w:ascii="Times New Roman" w:cs="Times New Roman" w:hAnsiTheme="minorEastAsia"/>
          <w:b/>
          <w:bCs/>
          <w:sz w:val="24"/>
          <w:szCs w:val="24"/>
        </w:rPr>
      </w:pPr>
      <w:r>
        <w:rPr>
          <w:rFonts w:hint="eastAsia" w:ascii="Times New Roman" w:cs="Times New Roman" w:hAnsiTheme="minorEastAsia"/>
          <w:b/>
          <w:bCs/>
          <w:sz w:val="24"/>
          <w:szCs w:val="24"/>
        </w:rPr>
        <w:t>（1）</w:t>
      </w:r>
      <w:r>
        <w:rPr>
          <w:rFonts w:ascii="Times New Roman" w:cs="Times New Roman" w:hAnsiTheme="minorEastAsia"/>
          <w:b/>
          <w:bCs/>
          <w:sz w:val="24"/>
          <w:szCs w:val="24"/>
        </w:rPr>
        <w:t>夯实基础：构建科学规范的碳汇核算监测体系</w:t>
      </w:r>
    </w:p>
    <w:p w14:paraId="67580699">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以精准化调查核算为核心，筑牢草原碳汇交易的数据与标准根基。开展全域草原碳汇资源普查，聚焦温性草原、山地草甸、低地草甸等主要草原类型，系统查清不同区域草原的植被盖度、生物量、土壤碳密度等核心指标，建立涵盖“市-县-乡”三级的草原碳汇资源台账，明确可开发碳汇资源的空间分布与潜力规模。</w:t>
      </w:r>
    </w:p>
    <w:p w14:paraId="66F0025A">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参照《草原碳汇核算指南》（DB1502∕T 033-2025）等国家标准，结合昌都草原生态特征，制定本地化的草原碳汇核算方法学，规范碳储量与碳汇量计算流程——采用“灌木层+草本层+枯落物层+土壤层”综合核算模式，运用库—差别法精准测算不同时期碳汇增量，确保核算结果的科学性与可比性。同步建立常态化监测体系，在类乌齐、丁青等草原核心区布设监测样地，配备遥感监测设备与专业技术人员，实行每年盛草期集中监测制度，动态跟踪草原碳汇能力变化，为碳汇项目开发与交易提供连续可靠的数据支撑。</w:t>
      </w:r>
    </w:p>
    <w:p w14:paraId="3F578363">
      <w:pPr>
        <w:spacing w:line="360" w:lineRule="auto"/>
        <w:ind w:firstLine="482" w:firstLineChars="200"/>
        <w:rPr>
          <w:rFonts w:ascii="Times New Roman" w:cs="Times New Roman" w:hAnsiTheme="minorEastAsia"/>
          <w:b/>
          <w:bCs/>
          <w:sz w:val="24"/>
          <w:szCs w:val="24"/>
        </w:rPr>
      </w:pPr>
      <w:r>
        <w:rPr>
          <w:rFonts w:ascii="Times New Roman" w:cs="Times New Roman" w:hAnsiTheme="minorEastAsia"/>
          <w:b/>
          <w:bCs/>
          <w:sz w:val="24"/>
          <w:szCs w:val="24"/>
        </w:rPr>
        <w:t>（</w:t>
      </w:r>
      <w:r>
        <w:rPr>
          <w:rFonts w:hint="eastAsia" w:ascii="Times New Roman" w:cs="Times New Roman" w:hAnsiTheme="minorEastAsia"/>
          <w:b/>
          <w:bCs/>
          <w:sz w:val="24"/>
          <w:szCs w:val="24"/>
        </w:rPr>
        <w:t>2</w:t>
      </w:r>
      <w:r>
        <w:rPr>
          <w:rFonts w:ascii="Times New Roman" w:cs="Times New Roman" w:hAnsiTheme="minorEastAsia"/>
          <w:b/>
          <w:bCs/>
          <w:sz w:val="24"/>
          <w:szCs w:val="24"/>
        </w:rPr>
        <w:t>）搭建平台：推动碳汇交易市场对接与试点建设</w:t>
      </w:r>
    </w:p>
    <w:p w14:paraId="677D8449">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主动融入层级化碳汇交易市场，探索符合昌都实际的交易路径。积极对接自治区林草碳汇开发交易试点工作部署，组建由市林草、财政、生态环境等部门参与的专项工作小组，统筹推进政策对接、项目申报与协调服务，争取将昌都草原碳汇项目纳入自治区重点试点范围，进而打通与国家温室气体自愿减排（CCER）市场的衔接通道。</w:t>
      </w:r>
    </w:p>
    <w:p w14:paraId="1A9111B4">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创新交易模式与试点布局，借鉴内蒙古兴安盟“期货式交易”成功经验，选择草原生态保护成效显著、碳汇潜力突出的县域开展先行先试，重点培育1-2个规模化草原碳汇示范项目。建立“统一管理、统一开发、统一销售”的开发机制，避免分散开发导致的效益流失，通过预购碳汇量等方式加快生态价值变现。同时强化合作赋能，与北京绿交所、专业碳汇开发企业等机构建立合作，引进技术力量破解交易流程、核查认证等瓶颈，确保试点项目合规高效推进。</w:t>
      </w:r>
    </w:p>
    <w:p w14:paraId="1A0EC984">
      <w:pPr>
        <w:spacing w:line="360" w:lineRule="auto"/>
        <w:ind w:firstLine="482" w:firstLineChars="200"/>
        <w:rPr>
          <w:rFonts w:ascii="Times New Roman" w:cs="Times New Roman" w:hAnsiTheme="minorEastAsia"/>
          <w:b/>
          <w:bCs/>
          <w:sz w:val="24"/>
          <w:szCs w:val="24"/>
        </w:rPr>
      </w:pPr>
      <w:r>
        <w:rPr>
          <w:rFonts w:ascii="Times New Roman" w:cs="Times New Roman" w:hAnsiTheme="minorEastAsia"/>
          <w:b/>
          <w:bCs/>
          <w:sz w:val="24"/>
          <w:szCs w:val="24"/>
        </w:rPr>
        <w:t>（</w:t>
      </w:r>
      <w:r>
        <w:rPr>
          <w:rFonts w:hint="eastAsia" w:ascii="Times New Roman" w:cs="Times New Roman" w:hAnsiTheme="minorEastAsia"/>
          <w:b/>
          <w:bCs/>
          <w:sz w:val="24"/>
          <w:szCs w:val="24"/>
        </w:rPr>
        <w:t>3</w:t>
      </w:r>
      <w:r>
        <w:rPr>
          <w:rFonts w:ascii="Times New Roman" w:cs="Times New Roman" w:hAnsiTheme="minorEastAsia"/>
          <w:b/>
          <w:bCs/>
          <w:sz w:val="24"/>
          <w:szCs w:val="24"/>
        </w:rPr>
        <w:t>）培育主体：激活碳汇产业发展的多元参与动力</w:t>
      </w:r>
    </w:p>
    <w:p w14:paraId="7E7F7259">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以主体培育为抓手，构建多方协同的碳汇开发格局。培育专业化开发主体，支持本地国有林草企业转型发展碳汇业务，通过政策引导吸引区外有技术实力的碳汇公司入驻，形成“国有资本主导、社会资本参与”的开发主体体系。建立碳汇人才培养机制，联合科研院校开展核算监测、项目管理等专项培训，提升基层林草工作人员与企业从业人员的专业能力。</w:t>
      </w:r>
    </w:p>
    <w:p w14:paraId="20931315">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健全利益联结机制，将碳汇交易与农牧民增收深度绑定。依托1万余名基层护草员队伍，推动其参与草原管护与碳汇监测工作，将管护成效与碳汇收益分红挂钩；鼓励农牧民专业合作社以草原经营权入股碳汇项目，分享碳汇交易增值收益，让农牧民成为草原碳汇保护与开发的直接受益者。通过“生态管护+碳汇参与”模式，充分调动社会力量保护草原生态的积极性，夯实碳汇产业可持续发展的群众基础。</w:t>
      </w:r>
    </w:p>
    <w:p w14:paraId="4A852CC1">
      <w:pPr>
        <w:spacing w:line="360" w:lineRule="auto"/>
        <w:ind w:firstLine="482" w:firstLineChars="200"/>
        <w:rPr>
          <w:rFonts w:ascii="Times New Roman" w:cs="Times New Roman" w:hAnsiTheme="minorEastAsia"/>
          <w:b/>
          <w:bCs/>
          <w:sz w:val="24"/>
          <w:szCs w:val="24"/>
        </w:rPr>
      </w:pPr>
      <w:r>
        <w:rPr>
          <w:rFonts w:ascii="Times New Roman" w:cs="Times New Roman" w:hAnsiTheme="minorEastAsia"/>
          <w:b/>
          <w:bCs/>
          <w:sz w:val="24"/>
          <w:szCs w:val="24"/>
        </w:rPr>
        <w:t>（</w:t>
      </w:r>
      <w:r>
        <w:rPr>
          <w:rFonts w:hint="eastAsia" w:ascii="Times New Roman" w:cs="Times New Roman" w:hAnsiTheme="minorEastAsia"/>
          <w:b/>
          <w:bCs/>
          <w:sz w:val="24"/>
          <w:szCs w:val="24"/>
        </w:rPr>
        <w:t>4</w:t>
      </w:r>
      <w:r>
        <w:rPr>
          <w:rFonts w:ascii="Times New Roman" w:cs="Times New Roman" w:hAnsiTheme="minorEastAsia"/>
          <w:b/>
          <w:bCs/>
          <w:sz w:val="24"/>
          <w:szCs w:val="24"/>
        </w:rPr>
        <w:t>）健全机制：保障碳汇交易可持续发展</w:t>
      </w:r>
    </w:p>
    <w:p w14:paraId="269C5E17">
      <w:pPr>
        <w:spacing w:line="360" w:lineRule="auto"/>
        <w:ind w:firstLine="480" w:firstLineChars="200"/>
        <w:rPr>
          <w:rFonts w:ascii="Times New Roman" w:cs="Times New Roman" w:hAnsiTheme="minorEastAsia"/>
          <w:sz w:val="24"/>
          <w:szCs w:val="24"/>
        </w:rPr>
      </w:pPr>
      <w:r>
        <w:rPr>
          <w:rFonts w:ascii="Times New Roman" w:cs="Times New Roman" w:hAnsiTheme="minorEastAsia"/>
          <w:sz w:val="24"/>
          <w:szCs w:val="24"/>
        </w:rPr>
        <w:t>建立“制度保障+科技支撑+效益反哺”的长效发展机制。制定《昌都市草原碳汇项目开发管理办法》《碳汇收益使用管理细则》等制度，明确项目申报标准、核查流程、收益分配等要求，规范碳汇开发交易全链条管理。强化科技赋能，运用卫星遥感、大数据等技术搭建智慧碳汇管理平台，实现资源调查、监测核算、交易监管的数字化升级。</w:t>
      </w:r>
    </w:p>
    <w:p w14:paraId="05E18A88">
      <w:pPr>
        <w:spacing w:before="91" w:line="363" w:lineRule="auto"/>
        <w:ind w:left="22" w:right="71" w:firstLine="480" w:firstLineChars="200"/>
        <w:rPr>
          <w:rFonts w:ascii="宋体" w:hAnsi="宋体" w:eastAsia="宋体" w:cs="宋体"/>
          <w:sz w:val="24"/>
          <w:szCs w:val="24"/>
        </w:rPr>
        <w:sectPr>
          <w:footerReference r:id="rId7" w:type="default"/>
          <w:pgSz w:w="11906" w:h="16838"/>
          <w:pgMar w:top="1459" w:right="1268" w:bottom="1222" w:left="1687" w:header="1092" w:footer="1059" w:gutter="0"/>
          <w:pgNumType w:fmt="decimal" w:start="1"/>
          <w:cols w:space="720" w:num="1"/>
        </w:sectPr>
      </w:pPr>
      <w:r>
        <w:rPr>
          <w:rFonts w:ascii="Times New Roman" w:cs="Times New Roman" w:hAnsiTheme="minorEastAsia"/>
          <w:sz w:val="24"/>
          <w:szCs w:val="24"/>
        </w:rPr>
        <w:t>实行碳汇收益定向反哺机制，将交易收益按比例用于草原生态修复、监测体系升级、护草员补贴等领域，形成“生态建设→碳汇开发→效益转化→生态再建设”的闭环模式。通过这一机制，既持续巩固草原碳汇能力，又保障碳汇交易的生态属性，最终实现生态效益、经济效益与社会效益的有机统一，为昌都打造青藏高原生态价值转化先行区提供有力支撑。</w:t>
      </w:r>
    </w:p>
    <w:p w14:paraId="0F776CF2">
      <w:pPr>
        <w:pStyle w:val="2"/>
        <w:numPr>
          <w:ilvl w:val="0"/>
          <w:numId w:val="2"/>
        </w:numPr>
        <w:spacing w:before="156" w:after="156" w:line="360" w:lineRule="auto"/>
        <w:rPr>
          <w:rFonts w:eastAsia="宋体"/>
          <w:bCs/>
          <w:snapToGrid/>
          <w:kern w:val="44"/>
          <w:szCs w:val="44"/>
        </w:rPr>
      </w:pPr>
      <w:bookmarkStart w:id="108" w:name="_Toc31997"/>
      <w:r>
        <w:rPr>
          <w:rFonts w:hint="eastAsia" w:eastAsia="宋体"/>
          <w:bCs/>
          <w:snapToGrid/>
          <w:kern w:val="44"/>
          <w:szCs w:val="44"/>
        </w:rPr>
        <w:t>投资估算与建设时序</w:t>
      </w:r>
      <w:bookmarkEnd w:id="108"/>
    </w:p>
    <w:p w14:paraId="10836718">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09" w:name="_Toc23606"/>
      <w:r>
        <w:rPr>
          <w:rStyle w:val="28"/>
          <w:rFonts w:ascii="Times New Roman"/>
          <w:color w:val="auto"/>
          <w:kern w:val="2"/>
          <w:sz w:val="32"/>
          <w:szCs w:val="32"/>
          <w:u w:val="none"/>
        </w:rPr>
        <w:t>投资估算</w:t>
      </w:r>
      <w:bookmarkEnd w:id="109"/>
    </w:p>
    <w:p w14:paraId="2D7A156A">
      <w:pPr>
        <w:pStyle w:val="4"/>
        <w:numPr>
          <w:ilvl w:val="2"/>
          <w:numId w:val="2"/>
        </w:numPr>
        <w:spacing w:before="120" w:after="120" w:line="360" w:lineRule="auto"/>
        <w:rPr>
          <w:rStyle w:val="28"/>
          <w:color w:val="auto"/>
          <w:sz w:val="28"/>
          <w:szCs w:val="28"/>
          <w:u w:val="none"/>
        </w:rPr>
      </w:pPr>
      <w:bookmarkStart w:id="110" w:name="_Toc8496"/>
      <w:r>
        <w:rPr>
          <w:rStyle w:val="28"/>
          <w:rFonts w:hint="eastAsia"/>
          <w:color w:val="auto"/>
          <w:sz w:val="28"/>
          <w:szCs w:val="28"/>
          <w:u w:val="none"/>
        </w:rPr>
        <w:t>投资估算依据</w:t>
      </w:r>
      <w:bookmarkEnd w:id="110"/>
    </w:p>
    <w:p w14:paraId="5F2F354D">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本次规划的投资估算是在国家和地方相应的政策、法规的基础上，充分考虑建设条件、建设工期等因素综合分析后进行估算。具体依据如下：</w:t>
      </w:r>
    </w:p>
    <w:p w14:paraId="725A1EBA">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（1）国家林业和草原局《重点区域生态保护和修复工程建设投资估算指南（试行）》；</w:t>
      </w:r>
    </w:p>
    <w:p w14:paraId="6AEEFD84">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（2）国家发展改革委《关于降低部分建设项目收费标准规范收费行为等有关问题的通知》（发改价格〔2011〕534号）；</w:t>
      </w:r>
    </w:p>
    <w:p w14:paraId="2CC06711">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（3）住房和城乡建设部《建设工程工程量清单计价规范》（GB50500-2008）；</w:t>
      </w:r>
    </w:p>
    <w:p w14:paraId="5A548375">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（4）国家计委、建设部《工程勘察设计收费管理规定》（计价格〔2002〕10号）；</w:t>
      </w:r>
    </w:p>
    <w:p w14:paraId="320648D8">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（5）财政部《关于印发〈基本建设财务管理规定〉的通知》（财建〔2002〕394号）；</w:t>
      </w:r>
    </w:p>
    <w:p w14:paraId="61B823C3">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（6）国家发改委、建设部《建设工程监理与相关服务收费管理规定》（发改价格〔2007〕670号）；</w:t>
      </w:r>
    </w:p>
    <w:p w14:paraId="60914B71">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（7）国家计委《招标代理服务收费暂行办法》（计价格〔2002〕1980号）；</w:t>
      </w:r>
    </w:p>
    <w:p w14:paraId="360A602B">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（8）人力资源和社会保障部、住房和城乡建设部《建设工程劳动定额园林绿化工程》（LD/T75.1-2008）；</w:t>
      </w:r>
    </w:p>
    <w:p w14:paraId="5F5E8B27">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（9）西藏自治区建设厅、发改委和财政厅发布的《西藏自治区建设工程费用定额》（藏建造〔2007〕11号）；</w:t>
      </w:r>
    </w:p>
    <w:p w14:paraId="13199154">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（10）西藏自治区建设局、发改委、财政局发布的《西藏自治区建设工程工程量清单计价定额》（藏建造〔2004〕116号）；</w:t>
      </w:r>
    </w:p>
    <w:p w14:paraId="14FAB2BC">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（11）自治区农牧厅、发改委、财政厅合发的《关于印发〈西藏自治区农牧业特色产业建设项目投资定额标准〉》（藏农厅〔2006〕100 号）；</w:t>
      </w:r>
    </w:p>
    <w:p w14:paraId="2AEC7AC1">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（12）中国林业工程建设协会关于印发《林业和草原工程建设项目服务计费指导意见》的通知（林建协〔2024〕54 号）；</w:t>
      </w:r>
    </w:p>
    <w:p w14:paraId="38B47503">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（1</w:t>
      </w:r>
      <w:r>
        <w:rPr>
          <w:rStyle w:val="27"/>
          <w:rFonts w:hint="eastAsia" w:ascii="Times New Roman" w:hAnsi="Times New Roman" w:cs="Times New Roman"/>
          <w:b w:val="0"/>
          <w:bCs/>
          <w:kern w:val="0"/>
          <w:sz w:val="24"/>
          <w:szCs w:val="24"/>
          <w:shd w:val="clear" w:color="auto" w:fill="FFFFFF"/>
        </w:rPr>
        <w:t>3</w:t>
      </w:r>
      <w:r>
        <w:rPr>
          <w:rStyle w:val="27"/>
          <w:rFonts w:ascii="Times New Roman" w:hAnsi="Times New Roman" w:cs="Times New Roman"/>
          <w:b w:val="0"/>
          <w:bCs/>
          <w:kern w:val="0"/>
          <w:sz w:val="24"/>
          <w:szCs w:val="24"/>
          <w:shd w:val="clear" w:color="auto" w:fill="FFFFFF"/>
        </w:rPr>
        <w:t>）项目区劳动力价格、生产资料价格水平等相关资料。</w:t>
      </w:r>
    </w:p>
    <w:p w14:paraId="72121EE4">
      <w:pPr>
        <w:pStyle w:val="4"/>
        <w:numPr>
          <w:ilvl w:val="2"/>
          <w:numId w:val="2"/>
        </w:numPr>
        <w:spacing w:before="120" w:after="120" w:line="360" w:lineRule="auto"/>
        <w:rPr>
          <w:rStyle w:val="28"/>
          <w:color w:val="auto"/>
          <w:sz w:val="28"/>
          <w:szCs w:val="28"/>
          <w:u w:val="none"/>
        </w:rPr>
      </w:pPr>
      <w:bookmarkStart w:id="111" w:name="_Toc4929"/>
      <w:r>
        <w:rPr>
          <w:rStyle w:val="28"/>
          <w:rFonts w:hint="eastAsia"/>
          <w:color w:val="auto"/>
          <w:sz w:val="28"/>
          <w:szCs w:val="28"/>
          <w:u w:val="none"/>
        </w:rPr>
        <w:t>投资估算</w:t>
      </w:r>
      <w:bookmarkEnd w:id="111"/>
    </w:p>
    <w:p w14:paraId="48A37522">
      <w:pPr>
        <w:spacing w:line="360" w:lineRule="auto"/>
        <w:ind w:firstLine="480" w:firstLineChars="200"/>
        <w:rPr>
          <w:rStyle w:val="27"/>
          <w:rFonts w:ascii="Times New Roman" w:hAnsi="Times New Roman" w:cs="Times New Roman"/>
          <w:b w:val="0"/>
          <w:bCs/>
          <w:color w:val="1901FB"/>
          <w:kern w:val="0"/>
          <w:sz w:val="24"/>
          <w:szCs w:val="24"/>
          <w:shd w:val="clear" w:color="auto" w:fill="FFFFFF"/>
        </w:rPr>
      </w:pPr>
      <w:r>
        <w:rPr>
          <w:rStyle w:val="27"/>
          <w:rFonts w:ascii="Times New Roman" w:hAnsi="Times New Roman" w:cs="Times New Roman"/>
          <w:b w:val="0"/>
          <w:bCs/>
          <w:color w:val="1901FB"/>
          <w:kern w:val="0"/>
          <w:sz w:val="24"/>
          <w:szCs w:val="24"/>
          <w:shd w:val="clear" w:color="auto" w:fill="FFFFFF"/>
        </w:rPr>
        <w:t>经测算，规划总投资为</w:t>
      </w:r>
      <w:r>
        <w:rPr>
          <w:rStyle w:val="27"/>
          <w:rFonts w:hint="eastAsia" w:ascii="Times New Roman" w:hAnsi="Times New Roman" w:cs="Times New Roman"/>
          <w:b w:val="0"/>
          <w:bCs/>
          <w:color w:val="1901FB"/>
          <w:kern w:val="0"/>
          <w:sz w:val="24"/>
          <w:szCs w:val="24"/>
          <w:shd w:val="clear" w:color="auto" w:fill="FFFFFF"/>
          <w:lang w:val="en-US" w:eastAsia="zh-CN"/>
        </w:rPr>
        <w:t>194045.27</w:t>
      </w:r>
      <w:r>
        <w:rPr>
          <w:rStyle w:val="27"/>
          <w:rFonts w:ascii="Times New Roman" w:hAnsi="Times New Roman" w:cs="Times New Roman"/>
          <w:b w:val="0"/>
          <w:bCs/>
          <w:color w:val="1901FB"/>
          <w:kern w:val="0"/>
          <w:sz w:val="24"/>
          <w:szCs w:val="24"/>
          <w:shd w:val="clear" w:color="auto" w:fill="FFFFFF"/>
        </w:rPr>
        <w:t>万元，其中，工程建设费用</w:t>
      </w:r>
      <w:r>
        <w:rPr>
          <w:rStyle w:val="27"/>
          <w:rFonts w:hint="eastAsia" w:ascii="Times New Roman" w:hAnsi="Times New Roman" w:cs="Times New Roman"/>
          <w:b w:val="0"/>
          <w:bCs/>
          <w:color w:val="1901FB"/>
          <w:kern w:val="0"/>
          <w:sz w:val="24"/>
          <w:szCs w:val="24"/>
          <w:shd w:val="clear" w:color="auto" w:fill="FFFFFF"/>
          <w:lang w:val="en-US" w:eastAsia="zh-CN"/>
        </w:rPr>
        <w:t>170641.75</w:t>
      </w:r>
      <w:r>
        <w:rPr>
          <w:rStyle w:val="27"/>
          <w:rFonts w:ascii="Times New Roman" w:hAnsi="Times New Roman" w:cs="Times New Roman"/>
          <w:b w:val="0"/>
          <w:bCs/>
          <w:color w:val="1901FB"/>
          <w:kern w:val="0"/>
          <w:sz w:val="24"/>
          <w:szCs w:val="24"/>
          <w:shd w:val="clear" w:color="auto" w:fill="FFFFFF"/>
        </w:rPr>
        <w:t>万元，占总投资的87.94%；工程建设其他费用</w:t>
      </w:r>
      <w:r>
        <w:rPr>
          <w:rStyle w:val="27"/>
          <w:rFonts w:hint="eastAsia" w:ascii="Times New Roman" w:hAnsi="Times New Roman" w:cs="Times New Roman"/>
          <w:b w:val="0"/>
          <w:bCs/>
          <w:color w:val="1901FB"/>
          <w:kern w:val="0"/>
          <w:sz w:val="24"/>
          <w:szCs w:val="24"/>
          <w:shd w:val="clear" w:color="auto" w:fill="FFFFFF"/>
          <w:lang w:val="en-US" w:eastAsia="zh-CN"/>
        </w:rPr>
        <w:t>14163.27</w:t>
      </w:r>
      <w:r>
        <w:rPr>
          <w:rStyle w:val="27"/>
          <w:rFonts w:ascii="Times New Roman" w:hAnsi="Times New Roman" w:cs="Times New Roman"/>
          <w:b w:val="0"/>
          <w:bCs/>
          <w:color w:val="1901FB"/>
          <w:kern w:val="0"/>
          <w:sz w:val="24"/>
          <w:szCs w:val="24"/>
          <w:shd w:val="clear" w:color="auto" w:fill="FFFFFF"/>
        </w:rPr>
        <w:t>万元，占总投资的7.30%；基本预备费</w:t>
      </w:r>
      <w:r>
        <w:rPr>
          <w:rStyle w:val="27"/>
          <w:rFonts w:hint="eastAsia" w:ascii="Times New Roman" w:hAnsi="Times New Roman" w:cs="Times New Roman"/>
          <w:b w:val="0"/>
          <w:bCs/>
          <w:color w:val="1901FB"/>
          <w:kern w:val="0"/>
          <w:sz w:val="24"/>
          <w:szCs w:val="24"/>
          <w:shd w:val="clear" w:color="auto" w:fill="FFFFFF"/>
          <w:lang w:val="en-US" w:eastAsia="zh-CN"/>
        </w:rPr>
        <w:t>9240.25</w:t>
      </w:r>
      <w:r>
        <w:rPr>
          <w:rStyle w:val="27"/>
          <w:rFonts w:ascii="Times New Roman" w:hAnsi="Times New Roman" w:cs="Times New Roman"/>
          <w:b w:val="0"/>
          <w:bCs/>
          <w:color w:val="1901FB"/>
          <w:kern w:val="0"/>
          <w:sz w:val="24"/>
          <w:szCs w:val="24"/>
          <w:shd w:val="clear" w:color="auto" w:fill="FFFFFF"/>
        </w:rPr>
        <w:t>万元，占总投资的4.76%。</w:t>
      </w:r>
    </w:p>
    <w:p w14:paraId="63DD03E1">
      <w:pPr>
        <w:spacing w:line="360" w:lineRule="auto"/>
        <w:ind w:firstLine="480" w:firstLineChars="200"/>
        <w:rPr>
          <w:rStyle w:val="27"/>
          <w:rFonts w:ascii="Times New Roman" w:hAnsi="Times New Roman" w:cs="Times New Roman"/>
          <w:b w:val="0"/>
          <w:bCs/>
          <w:color w:val="1901FB"/>
          <w:kern w:val="0"/>
          <w:sz w:val="24"/>
          <w:szCs w:val="24"/>
          <w:shd w:val="clear" w:color="auto" w:fill="FFFFFF"/>
        </w:rPr>
      </w:pPr>
      <w:r>
        <w:rPr>
          <w:rStyle w:val="27"/>
          <w:rFonts w:ascii="Times New Roman" w:hAnsi="Times New Roman" w:cs="Times New Roman"/>
          <w:b w:val="0"/>
          <w:bCs/>
          <w:color w:val="1901FB"/>
          <w:kern w:val="0"/>
          <w:sz w:val="24"/>
          <w:szCs w:val="24"/>
          <w:shd w:val="clear" w:color="auto" w:fill="FFFFFF"/>
        </w:rPr>
        <w:t>近期投资</w:t>
      </w:r>
      <w:r>
        <w:rPr>
          <w:rStyle w:val="27"/>
          <w:rFonts w:hint="eastAsia" w:ascii="Times New Roman" w:hAnsi="Times New Roman" w:cs="Times New Roman"/>
          <w:b w:val="0"/>
          <w:bCs/>
          <w:color w:val="1901FB"/>
          <w:kern w:val="0"/>
          <w:sz w:val="24"/>
          <w:szCs w:val="24"/>
          <w:shd w:val="clear" w:color="auto" w:fill="FFFFFF"/>
          <w:lang w:val="en-US" w:eastAsia="zh-CN"/>
        </w:rPr>
        <w:t>106922.52</w:t>
      </w:r>
      <w:r>
        <w:rPr>
          <w:rStyle w:val="27"/>
          <w:rFonts w:ascii="Times New Roman" w:hAnsi="Times New Roman" w:cs="Times New Roman"/>
          <w:b w:val="0"/>
          <w:bCs/>
          <w:color w:val="1901FB"/>
          <w:kern w:val="0"/>
          <w:sz w:val="24"/>
          <w:szCs w:val="24"/>
          <w:shd w:val="clear" w:color="auto" w:fill="FFFFFF"/>
        </w:rPr>
        <w:t>万元，占总投资的</w:t>
      </w:r>
      <w:r>
        <w:rPr>
          <w:rStyle w:val="27"/>
          <w:rFonts w:hint="eastAsia" w:ascii="Times New Roman" w:hAnsi="Times New Roman" w:cs="Times New Roman"/>
          <w:b w:val="0"/>
          <w:bCs/>
          <w:color w:val="1901FB"/>
          <w:kern w:val="0"/>
          <w:sz w:val="24"/>
          <w:szCs w:val="24"/>
          <w:shd w:val="clear" w:color="auto" w:fill="FFFFFF"/>
          <w:lang w:val="en-US" w:eastAsia="zh-CN"/>
        </w:rPr>
        <w:t>55.10</w:t>
      </w:r>
      <w:r>
        <w:rPr>
          <w:rStyle w:val="27"/>
          <w:rFonts w:ascii="Times New Roman" w:hAnsi="Times New Roman" w:cs="Times New Roman"/>
          <w:b w:val="0"/>
          <w:bCs/>
          <w:color w:val="1901FB"/>
          <w:kern w:val="0"/>
          <w:sz w:val="24"/>
          <w:szCs w:val="24"/>
          <w:shd w:val="clear" w:color="auto" w:fill="FFFFFF"/>
        </w:rPr>
        <w:t>%；远期投资</w:t>
      </w:r>
      <w:r>
        <w:rPr>
          <w:rStyle w:val="27"/>
          <w:rFonts w:hint="eastAsia" w:ascii="Times New Roman" w:hAnsi="Times New Roman" w:cs="Times New Roman"/>
          <w:b w:val="0"/>
          <w:bCs/>
          <w:color w:val="1901FB"/>
          <w:kern w:val="0"/>
          <w:sz w:val="24"/>
          <w:szCs w:val="24"/>
          <w:shd w:val="clear" w:color="auto" w:fill="FFFFFF"/>
          <w:lang w:val="en-US" w:eastAsia="zh-CN"/>
        </w:rPr>
        <w:t>87122.75</w:t>
      </w:r>
      <w:r>
        <w:rPr>
          <w:rStyle w:val="27"/>
          <w:rFonts w:ascii="Times New Roman" w:hAnsi="Times New Roman" w:cs="Times New Roman"/>
          <w:b w:val="0"/>
          <w:bCs/>
          <w:color w:val="1901FB"/>
          <w:kern w:val="0"/>
          <w:sz w:val="24"/>
          <w:szCs w:val="24"/>
          <w:shd w:val="clear" w:color="auto" w:fill="FFFFFF"/>
        </w:rPr>
        <w:t>万元，占总投资的</w:t>
      </w:r>
      <w:r>
        <w:rPr>
          <w:rStyle w:val="27"/>
          <w:rFonts w:hint="eastAsia" w:ascii="Times New Roman" w:hAnsi="Times New Roman" w:cs="Times New Roman"/>
          <w:b w:val="0"/>
          <w:bCs/>
          <w:color w:val="1901FB"/>
          <w:kern w:val="0"/>
          <w:sz w:val="24"/>
          <w:szCs w:val="24"/>
          <w:shd w:val="clear" w:color="auto" w:fill="FFFFFF"/>
          <w:lang w:val="en-US" w:eastAsia="zh-CN"/>
        </w:rPr>
        <w:t>44.90</w:t>
      </w:r>
      <w:r>
        <w:rPr>
          <w:rStyle w:val="27"/>
          <w:rFonts w:ascii="Times New Roman" w:hAnsi="Times New Roman" w:cs="Times New Roman"/>
          <w:b w:val="0"/>
          <w:bCs/>
          <w:color w:val="1901FB"/>
          <w:kern w:val="0"/>
          <w:sz w:val="24"/>
          <w:szCs w:val="24"/>
          <w:shd w:val="clear" w:color="auto" w:fill="FFFFFF"/>
        </w:rPr>
        <w:t>%。</w:t>
      </w:r>
    </w:p>
    <w:p w14:paraId="057C94C4">
      <w:pPr>
        <w:spacing w:line="360" w:lineRule="auto"/>
        <w:jc w:val="center"/>
        <w:rPr>
          <w:rFonts w:hint="eastAsia" w:ascii="Times New Roman" w:hAnsi="Times New Roman" w:eastAsia="黑体" w:cs="Times New Roman"/>
          <w:sz w:val="24"/>
          <w:szCs w:val="21"/>
        </w:rPr>
      </w:pPr>
      <w:r>
        <w:rPr>
          <w:rFonts w:hint="eastAsia" w:ascii="Times New Roman" w:hAnsi="Times New Roman" w:eastAsia="黑体" w:cs="Times New Roman"/>
          <w:sz w:val="24"/>
          <w:szCs w:val="21"/>
        </w:rPr>
        <w:t>表7-1昌都市草原保护修复和草业发展规划（2026-2035年）投资估算表</w:t>
      </w:r>
    </w:p>
    <w:tbl>
      <w:tblPr>
        <w:tblStyle w:val="24"/>
        <w:tblW w:w="8336" w:type="dxa"/>
        <w:tblInd w:w="0" w:type="dxa"/>
        <w:shd w:val="clear" w:color="auto" w:fill="auto"/>
        <w:tblLayout w:type="fixed"/>
        <w:tblCellMar>
          <w:top w:w="0" w:type="dxa"/>
          <w:left w:w="0" w:type="dxa"/>
          <w:bottom w:w="0" w:type="dxa"/>
          <w:right w:w="0" w:type="dxa"/>
        </w:tblCellMar>
      </w:tblPr>
      <w:tblGrid>
        <w:gridCol w:w="763"/>
        <w:gridCol w:w="2946"/>
        <w:gridCol w:w="1147"/>
        <w:gridCol w:w="1166"/>
        <w:gridCol w:w="1117"/>
        <w:gridCol w:w="1197"/>
      </w:tblGrid>
      <w:tr w14:paraId="23A03D81">
        <w:tblPrEx>
          <w:shd w:val="clear" w:color="auto" w:fill="auto"/>
          <w:tblCellMar>
            <w:top w:w="0" w:type="dxa"/>
            <w:left w:w="0" w:type="dxa"/>
            <w:bottom w:w="0" w:type="dxa"/>
            <w:right w:w="0" w:type="dxa"/>
          </w:tblCellMar>
        </w:tblPrEx>
        <w:trPr>
          <w:trHeight w:val="270" w:hRule="atLeast"/>
        </w:trPr>
        <w:tc>
          <w:tcPr>
            <w:tcW w:w="76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968A1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序号</w:t>
            </w:r>
          </w:p>
        </w:tc>
        <w:tc>
          <w:tcPr>
            <w:tcW w:w="294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C349F0">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名称</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3DE59A">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投资</w:t>
            </w:r>
          </w:p>
        </w:tc>
        <w:tc>
          <w:tcPr>
            <w:tcW w:w="2283"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2172A">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建设期限</w:t>
            </w:r>
          </w:p>
        </w:tc>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736135">
            <w:pPr>
              <w:keepNext w:val="0"/>
              <w:keepLines w:val="0"/>
              <w:widowControl/>
              <w:suppressLineNumbers w:val="0"/>
              <w:jc w:val="center"/>
              <w:textAlignment w:val="center"/>
              <w:rPr>
                <w:rFonts w:hint="eastAsia" w:ascii="宋体" w:hAnsi="宋体" w:eastAsia="宋体" w:cs="宋体"/>
                <w:i w:val="0"/>
                <w:color w:val="3323FF"/>
                <w:kern w:val="0"/>
                <w:sz w:val="21"/>
                <w:szCs w:val="21"/>
                <w:u w:val="none"/>
                <w:lang w:val="en-US" w:eastAsia="zh-CN" w:bidi="ar"/>
              </w:rPr>
            </w:pPr>
            <w:r>
              <w:rPr>
                <w:rFonts w:hint="eastAsia" w:ascii="宋体" w:hAnsi="宋体" w:eastAsia="宋体" w:cs="宋体"/>
                <w:i w:val="0"/>
                <w:color w:val="3323FF"/>
                <w:kern w:val="0"/>
                <w:sz w:val="21"/>
                <w:szCs w:val="21"/>
                <w:u w:val="none"/>
                <w:lang w:val="en-US" w:eastAsia="zh-CN" w:bidi="ar"/>
              </w:rPr>
              <w:t>投资占比</w:t>
            </w:r>
          </w:p>
          <w:p w14:paraId="18B5CC21">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w:t>
            </w:r>
            <w:r>
              <w:rPr>
                <w:rFonts w:hint="default" w:ascii="Times New Roman" w:hAnsi="Times New Roman" w:eastAsia="宋体" w:cs="Times New Roman"/>
                <w:i w:val="0"/>
                <w:color w:val="3323FF"/>
                <w:kern w:val="0"/>
                <w:sz w:val="21"/>
                <w:szCs w:val="21"/>
                <w:u w:val="none"/>
                <w:lang w:val="en-US" w:eastAsia="zh-CN" w:bidi="ar"/>
              </w:rPr>
              <w:t>%</w:t>
            </w:r>
            <w:r>
              <w:rPr>
                <w:rFonts w:hint="eastAsia" w:ascii="宋体" w:hAnsi="宋体" w:eastAsia="宋体" w:cs="宋体"/>
                <w:i w:val="0"/>
                <w:color w:val="3323FF"/>
                <w:kern w:val="0"/>
                <w:sz w:val="21"/>
                <w:szCs w:val="21"/>
                <w:u w:val="none"/>
                <w:lang w:val="en-US" w:eastAsia="zh-CN" w:bidi="ar"/>
              </w:rPr>
              <w:t>）</w:t>
            </w:r>
          </w:p>
        </w:tc>
      </w:tr>
      <w:tr w14:paraId="2A1E705F">
        <w:tblPrEx>
          <w:shd w:val="clear" w:color="auto" w:fill="auto"/>
          <w:tblCellMar>
            <w:top w:w="0" w:type="dxa"/>
            <w:left w:w="0" w:type="dxa"/>
            <w:bottom w:w="0" w:type="dxa"/>
            <w:right w:w="0" w:type="dxa"/>
          </w:tblCellMar>
        </w:tblPrEx>
        <w:trPr>
          <w:trHeight w:val="270" w:hRule="atLeast"/>
        </w:trPr>
        <w:tc>
          <w:tcPr>
            <w:tcW w:w="76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FD4078">
            <w:pPr>
              <w:jc w:val="center"/>
              <w:rPr>
                <w:rFonts w:hint="eastAsia" w:ascii="宋体" w:hAnsi="宋体" w:eastAsia="宋体" w:cs="宋体"/>
                <w:i w:val="0"/>
                <w:color w:val="3323FF"/>
                <w:sz w:val="21"/>
                <w:szCs w:val="21"/>
                <w:u w:val="none"/>
              </w:rPr>
            </w:pPr>
          </w:p>
        </w:tc>
        <w:tc>
          <w:tcPr>
            <w:tcW w:w="294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FE0A3">
            <w:pPr>
              <w:jc w:val="center"/>
              <w:rPr>
                <w:rFonts w:hint="eastAsia" w:ascii="宋体" w:hAnsi="宋体" w:eastAsia="宋体" w:cs="宋体"/>
                <w:i w:val="0"/>
                <w:color w:val="3323FF"/>
                <w:sz w:val="21"/>
                <w:szCs w:val="21"/>
                <w:u w:val="none"/>
              </w:rPr>
            </w:pP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5EA95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（万元）</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25F0BF">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近期</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B01B85">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远期</w:t>
            </w:r>
          </w:p>
        </w:tc>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B2BA4D">
            <w:pPr>
              <w:jc w:val="center"/>
              <w:rPr>
                <w:rFonts w:hint="eastAsia" w:ascii="宋体" w:hAnsi="宋体" w:eastAsia="宋体" w:cs="宋体"/>
                <w:i w:val="0"/>
                <w:color w:val="3323FF"/>
                <w:sz w:val="21"/>
                <w:szCs w:val="21"/>
                <w:u w:val="none"/>
              </w:rPr>
            </w:pPr>
          </w:p>
        </w:tc>
      </w:tr>
      <w:tr w14:paraId="484EC77D">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95878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一</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217F63">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工程建设费用</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1B857B">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170641.75</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A02ACD">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94026.75</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125C12">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76615</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69056C">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87.94 </w:t>
            </w:r>
          </w:p>
        </w:tc>
      </w:tr>
      <w:tr w14:paraId="70C4F9E9">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AE606F">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（一）</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70B7B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草原生态保护工程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0B1FC3">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23151.75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795348">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23151.75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D46F3F">
            <w:pPr>
              <w:jc w:val="center"/>
              <w:rPr>
                <w:rFonts w:hint="default" w:ascii="Times New Roman" w:hAnsi="Times New Roman" w:eastAsia="宋体" w:cs="Times New Roman"/>
                <w:i w:val="0"/>
                <w:color w:val="3323FF"/>
                <w:sz w:val="20"/>
                <w:szCs w:val="20"/>
                <w:u w:val="none"/>
              </w:rPr>
            </w:pP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80ACC1">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11.93 </w:t>
            </w:r>
          </w:p>
        </w:tc>
      </w:tr>
      <w:tr w14:paraId="6DC60D9A">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ECA76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（二）</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2DE611">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草原生态修复工程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6534FE">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114000.00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E1006">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57000.00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676624">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57000.00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8CE5F1">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58.75 </w:t>
            </w:r>
          </w:p>
        </w:tc>
      </w:tr>
      <w:tr w14:paraId="21FE4DF7">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EABF4D">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（三）</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B0D2E">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草业发展利用工程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E43631">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7600.00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2ED887">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5800.00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ADBB57">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1800.00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46A0B">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3.92 </w:t>
            </w:r>
          </w:p>
        </w:tc>
      </w:tr>
      <w:tr w14:paraId="71F7729F">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8F41F6">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（四）</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1A2C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草原合理利用工程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51F0F3">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2350.00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AD178E">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1050.00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43FB59">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1300.00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C9BCF8">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1.21 </w:t>
            </w:r>
          </w:p>
        </w:tc>
      </w:tr>
      <w:tr w14:paraId="30C51F46">
        <w:tblPrEx>
          <w:shd w:val="clear" w:color="auto" w:fill="auto"/>
          <w:tblCellMar>
            <w:top w:w="0" w:type="dxa"/>
            <w:left w:w="0" w:type="dxa"/>
            <w:bottom w:w="0" w:type="dxa"/>
            <w:right w:w="0" w:type="dxa"/>
          </w:tblCellMar>
        </w:tblPrEx>
        <w:trPr>
          <w:trHeight w:val="9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86FBF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（五）</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2FB109">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草原支持保障体系建设工程</w:t>
            </w:r>
          </w:p>
        </w:tc>
        <w:tc>
          <w:tcPr>
            <w:tcW w:w="114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26F280">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23540.00 </w:t>
            </w:r>
          </w:p>
        </w:tc>
        <w:tc>
          <w:tcPr>
            <w:tcW w:w="11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28B27">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7025.00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F8B7D0">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16515.00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D7BF5B">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12.13 </w:t>
            </w:r>
          </w:p>
        </w:tc>
      </w:tr>
      <w:tr w14:paraId="1CD477A6">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614B5C">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二</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28AE45">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工程建设其他费用</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E9F104">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14163.27 </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AD6375">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7804.22 </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5F148">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6359.05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D75E3">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7.30 </w:t>
            </w:r>
          </w:p>
        </w:tc>
      </w:tr>
      <w:tr w14:paraId="76BF85A0">
        <w:tblPrEx>
          <w:shd w:val="clear" w:color="auto" w:fill="auto"/>
          <w:tblCellMar>
            <w:top w:w="0" w:type="dxa"/>
            <w:left w:w="0" w:type="dxa"/>
            <w:bottom w:w="0" w:type="dxa"/>
            <w:right w:w="0" w:type="dxa"/>
          </w:tblCellMar>
        </w:tblPrEx>
        <w:trPr>
          <w:trHeight w:val="270" w:hRule="atLeast"/>
        </w:trPr>
        <w:tc>
          <w:tcPr>
            <w:tcW w:w="76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C8B59E">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三</w:t>
            </w:r>
          </w:p>
        </w:tc>
        <w:tc>
          <w:tcPr>
            <w:tcW w:w="294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3ED382">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基本预备费</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F05C76">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9240.25 </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6E82E">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5091.55 </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A306CA">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4148.70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AC4705">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4.76 </w:t>
            </w:r>
          </w:p>
        </w:tc>
      </w:tr>
      <w:tr w14:paraId="57FC414E">
        <w:tblPrEx>
          <w:shd w:val="clear" w:color="auto" w:fill="auto"/>
          <w:tblCellMar>
            <w:top w:w="0" w:type="dxa"/>
            <w:left w:w="0" w:type="dxa"/>
            <w:bottom w:w="0" w:type="dxa"/>
            <w:right w:w="0" w:type="dxa"/>
          </w:tblCellMar>
        </w:tblPrEx>
        <w:trPr>
          <w:trHeight w:val="270" w:hRule="atLeast"/>
        </w:trPr>
        <w:tc>
          <w:tcPr>
            <w:tcW w:w="3709"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BEB866">
            <w:pPr>
              <w:keepNext w:val="0"/>
              <w:keepLines w:val="0"/>
              <w:widowControl/>
              <w:suppressLineNumbers w:val="0"/>
              <w:jc w:val="center"/>
              <w:textAlignment w:val="center"/>
              <w:rPr>
                <w:rFonts w:hint="eastAsia" w:ascii="宋体" w:hAnsi="宋体" w:eastAsia="宋体" w:cs="宋体"/>
                <w:i w:val="0"/>
                <w:color w:val="3323FF"/>
                <w:sz w:val="21"/>
                <w:szCs w:val="21"/>
                <w:u w:val="none"/>
              </w:rPr>
            </w:pPr>
            <w:r>
              <w:rPr>
                <w:rFonts w:hint="eastAsia" w:ascii="宋体" w:hAnsi="宋体" w:eastAsia="宋体" w:cs="宋体"/>
                <w:i w:val="0"/>
                <w:color w:val="3323FF"/>
                <w:kern w:val="0"/>
                <w:sz w:val="21"/>
                <w:szCs w:val="21"/>
                <w:u w:val="none"/>
                <w:lang w:val="en-US" w:eastAsia="zh-CN" w:bidi="ar"/>
              </w:rPr>
              <w:t>合计</w:t>
            </w:r>
          </w:p>
        </w:tc>
        <w:tc>
          <w:tcPr>
            <w:tcW w:w="11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EF725B">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194045.27 </w:t>
            </w:r>
          </w:p>
        </w:tc>
        <w:tc>
          <w:tcPr>
            <w:tcW w:w="11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5902C1">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106922.52 </w:t>
            </w:r>
          </w:p>
        </w:tc>
        <w:tc>
          <w:tcPr>
            <w:tcW w:w="11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7FF2B">
            <w:pPr>
              <w:keepNext w:val="0"/>
              <w:keepLines w:val="0"/>
              <w:widowControl/>
              <w:suppressLineNumbers w:val="0"/>
              <w:jc w:val="center"/>
              <w:textAlignment w:val="center"/>
              <w:rPr>
                <w:rFonts w:hint="default" w:ascii="Times New Roman" w:hAnsi="Times New Roman" w:eastAsia="宋体" w:cs="Times New Roman"/>
                <w:i w:val="0"/>
                <w:color w:val="3323FF"/>
                <w:sz w:val="20"/>
                <w:szCs w:val="20"/>
                <w:u w:val="none"/>
              </w:rPr>
            </w:pPr>
            <w:r>
              <w:rPr>
                <w:rFonts w:hint="default" w:ascii="Times New Roman" w:hAnsi="Times New Roman" w:eastAsia="宋体" w:cs="Times New Roman"/>
                <w:i w:val="0"/>
                <w:color w:val="3323FF"/>
                <w:kern w:val="0"/>
                <w:sz w:val="20"/>
                <w:szCs w:val="20"/>
                <w:u w:val="none"/>
                <w:lang w:val="en-US" w:eastAsia="zh-CN" w:bidi="ar"/>
              </w:rPr>
              <w:t xml:space="preserve">87122.75 </w:t>
            </w:r>
          </w:p>
        </w:tc>
        <w:tc>
          <w:tcPr>
            <w:tcW w:w="11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705C4A">
            <w:pPr>
              <w:keepNext w:val="0"/>
              <w:keepLines w:val="0"/>
              <w:widowControl/>
              <w:suppressLineNumbers w:val="0"/>
              <w:jc w:val="center"/>
              <w:textAlignment w:val="center"/>
              <w:rPr>
                <w:rFonts w:hint="default" w:ascii="Times New Roman" w:hAnsi="Times New Roman" w:eastAsia="宋体" w:cs="Times New Roman"/>
                <w:i w:val="0"/>
                <w:color w:val="3323FF"/>
                <w:sz w:val="21"/>
                <w:szCs w:val="21"/>
                <w:u w:val="none"/>
              </w:rPr>
            </w:pPr>
            <w:r>
              <w:rPr>
                <w:rFonts w:hint="default" w:ascii="Times New Roman" w:hAnsi="Times New Roman" w:eastAsia="宋体" w:cs="Times New Roman"/>
                <w:i w:val="0"/>
                <w:color w:val="3323FF"/>
                <w:kern w:val="0"/>
                <w:sz w:val="21"/>
                <w:szCs w:val="21"/>
                <w:u w:val="none"/>
                <w:lang w:val="en-US" w:eastAsia="zh-CN" w:bidi="ar"/>
              </w:rPr>
              <w:t xml:space="preserve">100.00 </w:t>
            </w:r>
          </w:p>
        </w:tc>
      </w:tr>
    </w:tbl>
    <w:p w14:paraId="6CB6DD98">
      <w:pPr>
        <w:pStyle w:val="4"/>
        <w:numPr>
          <w:ilvl w:val="2"/>
          <w:numId w:val="2"/>
        </w:numPr>
        <w:spacing w:before="120" w:after="120" w:line="360" w:lineRule="auto"/>
        <w:rPr>
          <w:rStyle w:val="28"/>
          <w:color w:val="auto"/>
          <w:sz w:val="28"/>
          <w:szCs w:val="28"/>
          <w:u w:val="none"/>
        </w:rPr>
      </w:pPr>
      <w:bookmarkStart w:id="112" w:name="_Toc32576"/>
      <w:r>
        <w:rPr>
          <w:rStyle w:val="28"/>
          <w:rFonts w:hint="eastAsia"/>
          <w:color w:val="auto"/>
          <w:sz w:val="28"/>
          <w:szCs w:val="28"/>
          <w:u w:val="none"/>
        </w:rPr>
        <w:t>资金来源</w:t>
      </w:r>
      <w:bookmarkEnd w:id="112"/>
    </w:p>
    <w:p w14:paraId="03D71ECD">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在资金筹措上，应坚持“中央和地方政府扶持为引导，以市场投资渠道为主体，充分发挥各方面积极性”为原则，多渠道、多层次、多形式、宽领域筹措资金，最大程度地发挥市场在资源配置中的基础性作用，积极引导各类社会资金参与全区草原保护修复与产业的发展，形成“中央支持、地方参与、企业自筹、社会投入”的多元化资金筹措机制。</w:t>
      </w:r>
    </w:p>
    <w:p w14:paraId="78373FEB">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13" w:name="_Toc9503"/>
      <w:r>
        <w:rPr>
          <w:rStyle w:val="28"/>
          <w:rFonts w:ascii="Times New Roman"/>
          <w:color w:val="auto"/>
          <w:kern w:val="2"/>
          <w:sz w:val="32"/>
          <w:szCs w:val="32"/>
          <w:u w:val="none"/>
        </w:rPr>
        <w:t>建设时序</w:t>
      </w:r>
      <w:bookmarkEnd w:id="113"/>
    </w:p>
    <w:p w14:paraId="6FB8A826">
      <w:pPr>
        <w:spacing w:line="360" w:lineRule="auto"/>
        <w:ind w:firstLine="480" w:firstLineChars="200"/>
        <w:rPr>
          <w:rStyle w:val="27"/>
          <w:rFonts w:ascii="Times New Roman" w:hAnsi="Times New Roman" w:cs="Times New Roman"/>
          <w:b w:val="0"/>
          <w:bCs/>
          <w:kern w:val="0"/>
          <w:sz w:val="24"/>
          <w:szCs w:val="24"/>
          <w:shd w:val="clear" w:color="auto" w:fill="FFFFFF"/>
        </w:rPr>
      </w:pPr>
      <w:r>
        <w:rPr>
          <w:rStyle w:val="27"/>
          <w:rFonts w:ascii="Times New Roman" w:hAnsi="Times New Roman" w:cs="Times New Roman"/>
          <w:b w:val="0"/>
          <w:bCs/>
          <w:kern w:val="0"/>
          <w:sz w:val="24"/>
          <w:szCs w:val="24"/>
          <w:shd w:val="clear" w:color="auto" w:fill="FFFFFF"/>
        </w:rPr>
        <w:t>草原保护修复与草产业发展是一个分步骤、分阶段的持续过程，需要按照“循序渐进、滚动发展、系统推进”的原则以及开发难易程度来确定不同时期的重点建设项目。具体规划重点项目及投资费用及建设时序详见附表1、附表2。</w:t>
      </w:r>
    </w:p>
    <w:p w14:paraId="4EBACB9A">
      <w:pPr>
        <w:rPr>
          <w:rFonts w:ascii="Times New Roman" w:hAnsi="Times New Roman" w:cs="Times New Roman"/>
        </w:rPr>
      </w:pPr>
      <w:r>
        <w:rPr>
          <w:rFonts w:ascii="Times New Roman" w:hAnsi="Times New Roman" w:cs="Times New Roman"/>
        </w:rPr>
        <w:br w:type="page"/>
      </w:r>
    </w:p>
    <w:p w14:paraId="59136259">
      <w:pPr>
        <w:pStyle w:val="2"/>
        <w:numPr>
          <w:ilvl w:val="0"/>
          <w:numId w:val="2"/>
        </w:numPr>
        <w:spacing w:before="156" w:after="156" w:line="360" w:lineRule="auto"/>
        <w:rPr>
          <w:rFonts w:eastAsia="宋体"/>
          <w:bCs/>
          <w:snapToGrid/>
          <w:kern w:val="44"/>
          <w:szCs w:val="44"/>
        </w:rPr>
      </w:pPr>
      <w:bookmarkStart w:id="114" w:name="_Toc9375"/>
      <w:r>
        <w:rPr>
          <w:rFonts w:eastAsia="宋体"/>
          <w:bCs/>
          <w:snapToGrid/>
          <w:kern w:val="44"/>
          <w:szCs w:val="44"/>
        </w:rPr>
        <w:t>环境影响评价</w:t>
      </w:r>
      <w:bookmarkEnd w:id="114"/>
    </w:p>
    <w:p w14:paraId="0A1E9104">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根据《规划环境影响评价条例》，本次规划为草原修复保护及开发利用的综合性规划，</w:t>
      </w:r>
      <w:r>
        <w:rPr>
          <w:rFonts w:ascii="宋体" w:hAnsi="宋体" w:cs="宋体"/>
          <w:bCs/>
          <w:kern w:val="0"/>
          <w:sz w:val="24"/>
          <w:szCs w:val="24"/>
          <w:shd w:val="clear" w:color="auto" w:fill="FFFFFF"/>
        </w:rPr>
        <w:t>应当根据规划实施后可能对环境造成的影响，编写环境影响篇章或者说明。</w:t>
      </w:r>
      <w:r>
        <w:rPr>
          <w:rStyle w:val="27"/>
          <w:rFonts w:hint="eastAsia" w:ascii="宋体" w:hAnsi="宋体" w:cs="宋体"/>
          <w:b w:val="0"/>
          <w:bCs/>
          <w:kern w:val="0"/>
          <w:sz w:val="24"/>
          <w:szCs w:val="24"/>
          <w:shd w:val="clear" w:color="auto" w:fill="FFFFFF"/>
        </w:rPr>
        <w:t>因此，针对本次规划实施对环境的主要不利影响，制定切实可行的环境保护方案和保护对策措施。以保护环境质量为中心，以减免和防范工程不利影响为重点，保证地区经济持续发展，生态环境良性循环，使工程建设与环境保护，生态平衡相协调，取得较好的环境、经济和社会综合效益。</w:t>
      </w:r>
    </w:p>
    <w:p w14:paraId="0E54DA31">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环境影响评价设计中遵循的原则为：综合考虑资源、经济及环境等各方面的因素，坚持系统性的原则，全面系统地分析，综合平衡，使生态系统良性循环，环境何护方案具有可行性，合理性、易于实施，取得良好的改善效果。</w:t>
      </w:r>
    </w:p>
    <w:p w14:paraId="1E535EAD">
      <w:pPr>
        <w:spacing w:line="360" w:lineRule="auto"/>
        <w:ind w:firstLine="480" w:firstLineChars="200"/>
        <w:rPr>
          <w:rStyle w:val="27"/>
          <w:rFonts w:ascii="宋体" w:hAnsi="宋体" w:cs="宋体"/>
          <w:b w:val="0"/>
          <w:bCs/>
          <w:kern w:val="0"/>
          <w:sz w:val="24"/>
          <w:szCs w:val="24"/>
          <w:shd w:val="clear" w:color="auto" w:fill="FFFFFF"/>
        </w:rPr>
      </w:pPr>
      <w:r>
        <w:rPr>
          <w:rStyle w:val="27"/>
          <w:rFonts w:hint="eastAsia" w:ascii="宋体" w:hAnsi="宋体" w:cs="宋体"/>
          <w:b w:val="0"/>
          <w:bCs/>
          <w:kern w:val="0"/>
          <w:sz w:val="24"/>
          <w:szCs w:val="24"/>
          <w:shd w:val="clear" w:color="auto" w:fill="FFFFFF"/>
        </w:rPr>
        <w:t>本次规划实施过程对环境的影响主要体现在对生态环境的影响、对水环境的影响、对大气环境</w:t>
      </w:r>
      <w:r>
        <w:rPr>
          <w:rFonts w:hint="eastAsia" w:ascii="宋体" w:hAnsi="宋体" w:cs="宋体"/>
          <w:bCs/>
          <w:kern w:val="0"/>
          <w:sz w:val="24"/>
          <w:szCs w:val="24"/>
          <w:shd w:val="clear" w:color="auto" w:fill="FFFFFF"/>
        </w:rPr>
        <w:t>的影响</w:t>
      </w:r>
      <w:r>
        <w:rPr>
          <w:rStyle w:val="27"/>
          <w:rFonts w:hint="eastAsia" w:ascii="宋体" w:hAnsi="宋体" w:cs="宋体"/>
          <w:b w:val="0"/>
          <w:bCs/>
          <w:kern w:val="0"/>
          <w:sz w:val="24"/>
          <w:szCs w:val="24"/>
          <w:shd w:val="clear" w:color="auto" w:fill="FFFFFF"/>
        </w:rPr>
        <w:t>、对声环境</w:t>
      </w:r>
      <w:r>
        <w:rPr>
          <w:rFonts w:hint="eastAsia" w:ascii="宋体" w:hAnsi="宋体" w:cs="宋体"/>
          <w:bCs/>
          <w:kern w:val="0"/>
          <w:sz w:val="24"/>
          <w:szCs w:val="24"/>
          <w:shd w:val="clear" w:color="auto" w:fill="FFFFFF"/>
        </w:rPr>
        <w:t>的影响、对社会经济的影响和对社会环境的影响</w:t>
      </w:r>
      <w:r>
        <w:rPr>
          <w:rStyle w:val="27"/>
          <w:rFonts w:hint="eastAsia" w:ascii="宋体" w:hAnsi="宋体" w:cs="宋体"/>
          <w:b w:val="0"/>
          <w:bCs/>
          <w:kern w:val="0"/>
          <w:sz w:val="24"/>
          <w:szCs w:val="24"/>
          <w:shd w:val="clear" w:color="auto" w:fill="FFFFFF"/>
        </w:rPr>
        <w:t>。这些影响主要来源于规划实施过程中占地、草场修复、“三废一噪”排放等。</w:t>
      </w:r>
    </w:p>
    <w:p w14:paraId="7F820067">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15" w:name="_Toc1722"/>
      <w:r>
        <w:rPr>
          <w:rStyle w:val="28"/>
          <w:rFonts w:hint="default" w:ascii="Times New Roman"/>
          <w:color w:val="auto"/>
          <w:kern w:val="2"/>
          <w:sz w:val="32"/>
          <w:szCs w:val="32"/>
          <w:u w:val="none"/>
        </w:rPr>
        <w:t>生态环境影响预测与评价</w:t>
      </w:r>
      <w:bookmarkEnd w:id="115"/>
    </w:p>
    <w:p w14:paraId="66497E28">
      <w:pPr>
        <w:pStyle w:val="4"/>
        <w:numPr>
          <w:ilvl w:val="2"/>
          <w:numId w:val="2"/>
        </w:numPr>
        <w:spacing w:before="120" w:after="120" w:line="360" w:lineRule="auto"/>
        <w:rPr>
          <w:rStyle w:val="28"/>
          <w:color w:val="auto"/>
          <w:sz w:val="28"/>
          <w:szCs w:val="28"/>
          <w:u w:val="none"/>
        </w:rPr>
      </w:pPr>
      <w:bookmarkStart w:id="116" w:name="_Toc25286"/>
      <w:r>
        <w:rPr>
          <w:rStyle w:val="28"/>
          <w:rFonts w:hint="eastAsia"/>
          <w:color w:val="auto"/>
          <w:sz w:val="28"/>
          <w:szCs w:val="28"/>
          <w:u w:val="none"/>
        </w:rPr>
        <w:t>草原生态保护与修复对生态环境的影响</w:t>
      </w:r>
      <w:bookmarkEnd w:id="116"/>
    </w:p>
    <w:p w14:paraId="23008962">
      <w:pPr>
        <w:spacing w:line="360" w:lineRule="auto"/>
        <w:ind w:firstLine="480" w:firstLineChars="200"/>
        <w:rPr>
          <w:rStyle w:val="27"/>
          <w:rFonts w:ascii="宋体" w:hAnsi="宋体" w:eastAsia="宋体" w:cs="宋体"/>
          <w:b w:val="0"/>
          <w:bCs/>
          <w:kern w:val="0"/>
          <w:sz w:val="24"/>
          <w:szCs w:val="24"/>
          <w:shd w:val="clear" w:color="auto" w:fill="FFFFFF"/>
        </w:rPr>
      </w:pPr>
      <w:r>
        <w:rPr>
          <w:rStyle w:val="27"/>
          <w:rFonts w:hint="eastAsia" w:ascii="宋体" w:hAnsi="宋体" w:eastAsia="宋体" w:cs="宋体"/>
          <w:b w:val="0"/>
          <w:bCs/>
          <w:kern w:val="0"/>
          <w:sz w:val="24"/>
          <w:szCs w:val="24"/>
          <w:shd w:val="clear" w:color="auto" w:fill="FFFFFF"/>
        </w:rPr>
        <w:t>在对草原进行生态保护与修复过程中，草原修复占地、栽种植被、清除有害生物等项目建设对区域生态环境会造成一定程度的干扰。占地施工过程对土壤的开挖和扰动容易引发土壤沙化和水土流失，降低土壤肥力，影响生态系统的稳定性。尤其是昌都市部分草地属于高寒沙化地带，占地施工过程需采取严格的防沙措施，防止土壤进一步退化。在草原栽种施工过程中，为提高人工栽培植被成活率需要使用肥料、农药等，如果使用不当或过量，容易造成土壤板结，降低保水、保肥能力，甚至引起土地退化。为减轻这些负面影响，必须</w:t>
      </w:r>
      <w:bookmarkStart w:id="117" w:name="_Hlk219121453"/>
      <w:r>
        <w:rPr>
          <w:rStyle w:val="27"/>
          <w:rFonts w:hint="eastAsia" w:ascii="宋体" w:hAnsi="宋体" w:eastAsia="宋体" w:cs="宋体"/>
          <w:b w:val="0"/>
          <w:bCs/>
          <w:kern w:val="0"/>
          <w:sz w:val="24"/>
          <w:szCs w:val="24"/>
          <w:shd w:val="clear" w:color="auto" w:fill="FFFFFF"/>
        </w:rPr>
        <w:t>严格控制化肥施用量，优先选择符合环保标准的有机肥。</w:t>
      </w:r>
      <w:bookmarkEnd w:id="117"/>
    </w:p>
    <w:p w14:paraId="7202EC3B">
      <w:pPr>
        <w:spacing w:line="360" w:lineRule="auto"/>
        <w:ind w:firstLine="480" w:firstLineChars="200"/>
        <w:rPr>
          <w:rStyle w:val="27"/>
          <w:rFonts w:ascii="宋体" w:hAnsi="宋体" w:eastAsia="宋体" w:cs="宋体"/>
          <w:b w:val="0"/>
          <w:bCs/>
          <w:kern w:val="0"/>
          <w:sz w:val="24"/>
          <w:szCs w:val="24"/>
          <w:shd w:val="clear" w:color="auto" w:fill="FFFFFF"/>
        </w:rPr>
      </w:pPr>
      <w:r>
        <w:rPr>
          <w:rStyle w:val="27"/>
          <w:rFonts w:hint="eastAsia" w:ascii="宋体" w:hAnsi="宋体" w:eastAsia="宋体" w:cs="宋体"/>
          <w:b w:val="0"/>
          <w:bCs/>
          <w:kern w:val="0"/>
          <w:sz w:val="24"/>
          <w:szCs w:val="24"/>
          <w:shd w:val="clear" w:color="auto" w:fill="FFFFFF"/>
        </w:rPr>
        <w:t>在草原病虫害和鼠害的防治过程中，使用药品是目前必须的手段，但农药、有毒药品等的大量使用容易对区域地下水、地表水产生不良影响，危害生态环境中的动物、植物、真菌等生物的生境并危害畜牧业和农作物的健康发展。因此，在草原病虫害防治工程中应优先采取生物防治、物理防治等环保措施，减少化学药剂的使用。并加强对防治从业人员、牧民等的技术培训，合理使用化学药剂，尽量引导使用低毒、低残留的绿色农药，降低对生态环境的影响。</w:t>
      </w:r>
    </w:p>
    <w:p w14:paraId="2E72AB26">
      <w:pPr>
        <w:pStyle w:val="4"/>
        <w:numPr>
          <w:ilvl w:val="2"/>
          <w:numId w:val="2"/>
        </w:numPr>
        <w:spacing w:before="120" w:after="120" w:line="360" w:lineRule="auto"/>
        <w:rPr>
          <w:rStyle w:val="28"/>
          <w:color w:val="auto"/>
          <w:sz w:val="28"/>
          <w:szCs w:val="28"/>
          <w:u w:val="none"/>
        </w:rPr>
      </w:pPr>
      <w:bookmarkStart w:id="118" w:name="_Toc6904"/>
      <w:r>
        <w:rPr>
          <w:rStyle w:val="28"/>
          <w:rFonts w:hint="eastAsia"/>
          <w:color w:val="auto"/>
          <w:sz w:val="28"/>
          <w:szCs w:val="28"/>
          <w:u w:val="none"/>
        </w:rPr>
        <w:t>基础设施建设对生态环境的影响</w:t>
      </w:r>
      <w:bookmarkEnd w:id="118"/>
    </w:p>
    <w:p w14:paraId="4393B62E">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在对草原进行生态保护修复</w:t>
      </w:r>
      <w:r>
        <w:rPr>
          <w:rFonts w:hint="eastAsia" w:ascii="Times New Roman" w:hAnsi="Times New Roman" w:eastAsia="宋体" w:cs="Times New Roman"/>
          <w:sz w:val="24"/>
          <w:szCs w:val="24"/>
        </w:rPr>
        <w:t>及配套发展重点项目建设</w:t>
      </w:r>
      <w:r>
        <w:rPr>
          <w:rFonts w:ascii="Times New Roman" w:hAnsi="Times New Roman" w:eastAsia="宋体" w:cs="Times New Roman"/>
          <w:sz w:val="24"/>
          <w:szCs w:val="24"/>
        </w:rPr>
        <w:t>过程中，</w:t>
      </w:r>
      <w:r>
        <w:rPr>
          <w:rFonts w:hint="eastAsia" w:ascii="Times New Roman" w:hAnsi="Times New Roman" w:eastAsia="宋体" w:cs="Times New Roman"/>
          <w:sz w:val="24"/>
          <w:szCs w:val="24"/>
        </w:rPr>
        <w:t>基础设施的建设会</w:t>
      </w:r>
      <w:r>
        <w:rPr>
          <w:rFonts w:ascii="Times New Roman" w:hAnsi="Times New Roman" w:eastAsia="宋体" w:cs="Times New Roman"/>
          <w:sz w:val="24"/>
          <w:szCs w:val="24"/>
        </w:rPr>
        <w:t>不可避免地会增加人为活动强度，</w:t>
      </w:r>
      <w:r>
        <w:rPr>
          <w:rFonts w:hint="eastAsia" w:ascii="Times New Roman" w:hAnsi="Times New Roman" w:eastAsia="宋体" w:cs="Times New Roman"/>
          <w:sz w:val="24"/>
          <w:szCs w:val="24"/>
        </w:rPr>
        <w:t>占用土地及施工活动会对区域生态环境产生不利影响</w:t>
      </w:r>
      <w:r>
        <w:rPr>
          <w:rFonts w:ascii="Times New Roman" w:hAnsi="Times New Roman" w:eastAsia="宋体" w:cs="Times New Roman"/>
          <w:sz w:val="24"/>
          <w:szCs w:val="24"/>
        </w:rPr>
        <w:t>。</w:t>
      </w:r>
      <w:r>
        <w:rPr>
          <w:rFonts w:hint="eastAsia" w:ascii="Times New Roman" w:hAnsi="Times New Roman" w:eastAsia="宋体" w:cs="Times New Roman"/>
          <w:sz w:val="24"/>
          <w:szCs w:val="24"/>
        </w:rPr>
        <w:t>基础设施的建设将破坏工程范围内的植被，对区域生态环境造成影响。施工期临时性工程对原地表植被产生破坏，但在采取一定恢复措施后可逐渐得到恢复。施工机械运输碾压及施工人员践踏也会对作业及周边植被产生一定程度上扰动。同时基础设施建设也会造成区域景观美学价值在施工期下降。</w:t>
      </w:r>
      <w:r>
        <w:rPr>
          <w:rFonts w:ascii="Times New Roman" w:hAnsi="Times New Roman" w:eastAsia="宋体" w:cs="Times New Roman"/>
          <w:sz w:val="24"/>
          <w:szCs w:val="24"/>
        </w:rPr>
        <w:t>为减少这些负面影响，必须采取合理的施工组织设计，</w:t>
      </w:r>
      <w:r>
        <w:rPr>
          <w:rFonts w:hint="eastAsia" w:ascii="Times New Roman" w:hAnsi="Times New Roman" w:eastAsia="宋体" w:cs="Times New Roman"/>
          <w:sz w:val="24"/>
          <w:szCs w:val="24"/>
        </w:rPr>
        <w:t>临时占地</w:t>
      </w:r>
      <w:r>
        <w:rPr>
          <w:rFonts w:ascii="Times New Roman" w:hAnsi="Times New Roman" w:eastAsia="宋体" w:cs="Times New Roman"/>
          <w:sz w:val="24"/>
          <w:szCs w:val="24"/>
        </w:rPr>
        <w:t>在施工结束后及时进行植被恢复，</w:t>
      </w:r>
      <w:r>
        <w:rPr>
          <w:rFonts w:hint="eastAsia" w:ascii="Times New Roman" w:hAnsi="Times New Roman" w:eastAsia="宋体" w:cs="Times New Roman"/>
          <w:sz w:val="24"/>
          <w:szCs w:val="24"/>
        </w:rPr>
        <w:t>对施工人员进行宣传教育，严格按照项目红线进行施工建设，减少基础设施建设项目对生态环境的影响</w:t>
      </w:r>
      <w:r>
        <w:rPr>
          <w:rFonts w:ascii="Times New Roman" w:hAnsi="Times New Roman" w:eastAsia="宋体" w:cs="Times New Roman"/>
          <w:sz w:val="24"/>
          <w:szCs w:val="24"/>
        </w:rPr>
        <w:t>。</w:t>
      </w:r>
    </w:p>
    <w:p w14:paraId="7D1E2A58">
      <w:pPr>
        <w:pStyle w:val="4"/>
        <w:numPr>
          <w:ilvl w:val="2"/>
          <w:numId w:val="2"/>
        </w:numPr>
        <w:spacing w:before="120" w:after="120" w:line="360" w:lineRule="auto"/>
        <w:rPr>
          <w:rStyle w:val="28"/>
          <w:color w:val="auto"/>
          <w:sz w:val="28"/>
          <w:szCs w:val="28"/>
          <w:u w:val="none"/>
        </w:rPr>
      </w:pPr>
      <w:bookmarkStart w:id="119" w:name="_Toc21265"/>
      <w:r>
        <w:rPr>
          <w:rStyle w:val="28"/>
          <w:rFonts w:hint="eastAsia"/>
          <w:color w:val="auto"/>
          <w:sz w:val="28"/>
          <w:szCs w:val="28"/>
          <w:u w:val="none"/>
        </w:rPr>
        <w:t>草原生态保护修复与发展项目草种选择的环境影响</w:t>
      </w:r>
      <w:bookmarkEnd w:id="119"/>
    </w:p>
    <w:p w14:paraId="6F2FED7D">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草原生态保护与修复</w:t>
      </w:r>
      <w:r>
        <w:rPr>
          <w:rFonts w:hint="eastAsia" w:ascii="Times New Roman" w:hAnsi="Times New Roman" w:eastAsia="宋体" w:cs="Times New Roman"/>
          <w:sz w:val="24"/>
          <w:szCs w:val="24"/>
        </w:rPr>
        <w:t>人工种植草场及发展开发项目在实施过程及占地恢复过程中草种的选择也至关重要。昌都市草原目前已发现多种入侵植物，如牛膝菊</w:t>
      </w:r>
      <w:r>
        <w:rPr>
          <w:rFonts w:hint="eastAsia" w:ascii="Times New Roman" w:hAnsi="Times New Roman" w:eastAsia="宋体" w:cs="Times New Roman"/>
          <w:i/>
          <w:iCs/>
          <w:sz w:val="24"/>
          <w:szCs w:val="24"/>
        </w:rPr>
        <w:t>Galinsogaparviflora</w:t>
      </w:r>
      <w:r>
        <w:rPr>
          <w:rFonts w:hint="eastAsia" w:ascii="Times New Roman" w:hAnsi="Times New Roman" w:eastAsia="宋体" w:cs="Times New Roman"/>
          <w:sz w:val="24"/>
          <w:szCs w:val="24"/>
        </w:rPr>
        <w:t>、欧洲千里光</w:t>
      </w:r>
      <w:r>
        <w:rPr>
          <w:rFonts w:hint="eastAsia" w:ascii="Times New Roman" w:hAnsi="Times New Roman" w:eastAsia="宋体" w:cs="Times New Roman"/>
          <w:i/>
          <w:iCs/>
          <w:sz w:val="24"/>
          <w:szCs w:val="24"/>
        </w:rPr>
        <w:t>Seneciovulgaris</w:t>
      </w:r>
      <w:r>
        <w:rPr>
          <w:rFonts w:hint="eastAsia" w:ascii="Times New Roman" w:hAnsi="Times New Roman" w:eastAsia="宋体" w:cs="Times New Roman"/>
          <w:sz w:val="24"/>
          <w:szCs w:val="24"/>
        </w:rPr>
        <w:t>、小蓬草</w:t>
      </w:r>
      <w:r>
        <w:rPr>
          <w:rFonts w:hint="eastAsia" w:ascii="Times New Roman" w:hAnsi="Times New Roman" w:eastAsia="宋体" w:cs="Times New Roman"/>
          <w:i/>
          <w:iCs/>
          <w:sz w:val="24"/>
          <w:szCs w:val="24"/>
        </w:rPr>
        <w:t>Erigeroncanadensis</w:t>
      </w:r>
      <w:r>
        <w:rPr>
          <w:rFonts w:hint="eastAsia" w:ascii="Times New Roman" w:hAnsi="Times New Roman" w:eastAsia="宋体" w:cs="Times New Roman"/>
          <w:sz w:val="24"/>
          <w:szCs w:val="24"/>
        </w:rPr>
        <w:t>、续断菊</w:t>
      </w:r>
      <w:r>
        <w:rPr>
          <w:rFonts w:hint="eastAsia" w:ascii="Times New Roman" w:hAnsi="Times New Roman" w:eastAsia="宋体" w:cs="Times New Roman"/>
          <w:i/>
          <w:iCs/>
          <w:sz w:val="24"/>
          <w:szCs w:val="24"/>
        </w:rPr>
        <w:t>Sonchusasper</w:t>
      </w:r>
      <w:r>
        <w:rPr>
          <w:rFonts w:hint="eastAsia" w:ascii="Times New Roman" w:hAnsi="Times New Roman" w:eastAsia="宋体" w:cs="Times New Roman"/>
          <w:sz w:val="24"/>
          <w:szCs w:val="24"/>
        </w:rPr>
        <w:t>、苦苣菜</w:t>
      </w:r>
      <w:r>
        <w:rPr>
          <w:rFonts w:hint="eastAsia" w:ascii="Times New Roman" w:hAnsi="Times New Roman" w:eastAsia="宋体" w:cs="Times New Roman"/>
          <w:i/>
          <w:iCs/>
          <w:sz w:val="24"/>
          <w:szCs w:val="24"/>
        </w:rPr>
        <w:t>Sonchusoleraceus</w:t>
      </w:r>
      <w:r>
        <w:rPr>
          <w:rFonts w:hint="eastAsia" w:ascii="Times New Roman" w:hAnsi="Times New Roman" w:eastAsia="宋体" w:cs="Times New Roman"/>
          <w:sz w:val="24"/>
          <w:szCs w:val="24"/>
        </w:rPr>
        <w:t>、一年蓬</w:t>
      </w:r>
      <w:r>
        <w:rPr>
          <w:rFonts w:hint="eastAsia" w:ascii="Times New Roman" w:hAnsi="Times New Roman" w:eastAsia="宋体" w:cs="Times New Roman"/>
          <w:i/>
          <w:iCs/>
          <w:sz w:val="24"/>
          <w:szCs w:val="24"/>
        </w:rPr>
        <w:t>Erigeronanmuus</w:t>
      </w:r>
      <w:r>
        <w:rPr>
          <w:rFonts w:hint="eastAsia" w:ascii="Times New Roman" w:hAnsi="Times New Roman" w:eastAsia="宋体" w:cs="Times New Roman"/>
          <w:sz w:val="24"/>
          <w:szCs w:val="24"/>
        </w:rPr>
        <w:t>、白花草木樨</w:t>
      </w:r>
      <w:r>
        <w:rPr>
          <w:rFonts w:hint="eastAsia" w:ascii="Times New Roman" w:hAnsi="Times New Roman" w:eastAsia="宋体" w:cs="Times New Roman"/>
          <w:i/>
          <w:iCs/>
          <w:sz w:val="24"/>
          <w:szCs w:val="24"/>
        </w:rPr>
        <w:t>Melilotusalbus、</w:t>
      </w:r>
      <w:r>
        <w:rPr>
          <w:rFonts w:hint="eastAsia" w:ascii="Times New Roman" w:hAnsi="Times New Roman" w:eastAsia="宋体" w:cs="Times New Roman"/>
          <w:sz w:val="24"/>
          <w:szCs w:val="24"/>
        </w:rPr>
        <w:t>草木樨</w:t>
      </w:r>
      <w:r>
        <w:rPr>
          <w:rFonts w:hint="eastAsia" w:ascii="Times New Roman" w:hAnsi="Times New Roman" w:eastAsia="宋体" w:cs="Times New Roman"/>
          <w:i/>
          <w:iCs/>
          <w:sz w:val="24"/>
          <w:szCs w:val="24"/>
        </w:rPr>
        <w:t>Melilotussuaveolens</w:t>
      </w:r>
      <w:r>
        <w:rPr>
          <w:rFonts w:hint="eastAsia" w:ascii="Times New Roman" w:hAnsi="Times New Roman" w:eastAsia="宋体" w:cs="Times New Roman"/>
          <w:sz w:val="24"/>
          <w:szCs w:val="24"/>
        </w:rPr>
        <w:t>、紫苜蓿</w:t>
      </w:r>
      <w:r>
        <w:rPr>
          <w:rFonts w:hint="eastAsia" w:ascii="Times New Roman" w:hAnsi="Times New Roman" w:eastAsia="宋体" w:cs="Times New Roman"/>
          <w:i/>
          <w:iCs/>
          <w:sz w:val="24"/>
          <w:szCs w:val="24"/>
        </w:rPr>
        <w:t>Medicagosativa</w:t>
      </w:r>
      <w:r>
        <w:rPr>
          <w:rFonts w:hint="eastAsia" w:ascii="Times New Roman" w:hAnsi="Times New Roman" w:eastAsia="宋体" w:cs="Times New Roman"/>
          <w:sz w:val="24"/>
          <w:szCs w:val="24"/>
        </w:rPr>
        <w:t>、曼陀罗</w:t>
      </w:r>
      <w:r>
        <w:rPr>
          <w:rFonts w:hint="eastAsia" w:ascii="Times New Roman" w:hAnsi="Times New Roman" w:eastAsia="宋体" w:cs="Times New Roman"/>
          <w:i/>
          <w:iCs/>
          <w:sz w:val="24"/>
          <w:szCs w:val="24"/>
        </w:rPr>
        <w:t>Daturastramonium</w:t>
      </w:r>
      <w:r>
        <w:rPr>
          <w:rFonts w:hint="eastAsia" w:ascii="Times New Roman" w:hAnsi="Times New Roman" w:eastAsia="宋体" w:cs="Times New Roman"/>
          <w:sz w:val="24"/>
          <w:szCs w:val="24"/>
        </w:rPr>
        <w:t>等，修复过程中若不重视使用植物来源、未对修复物种进行论证、施工人员活动等都可能携带入侵物种种子进入区域，使得区域内外来物种入侵趋势加重，影响昌都市草原生态功能的行使。因此，在规划实施过程中，应特别注意草种来源，选择安全可靠的苗木基地，选择乡土物种如毛莲蒿、针茅、野古草、西藏蒿草、早熟禾、珠芽蓼等，并加强乡土物种育种培育，防止因本规划的实施加重区域物种入侵情况。</w:t>
      </w:r>
    </w:p>
    <w:p w14:paraId="005B05F9">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20" w:name="_Toc30633"/>
      <w:r>
        <w:rPr>
          <w:rStyle w:val="28"/>
          <w:rFonts w:ascii="Times New Roman"/>
          <w:color w:val="auto"/>
          <w:kern w:val="2"/>
          <w:sz w:val="32"/>
          <w:szCs w:val="32"/>
          <w:u w:val="none"/>
        </w:rPr>
        <w:t>规划建设对区域污染物预测与评价</w:t>
      </w:r>
      <w:bookmarkEnd w:id="120"/>
    </w:p>
    <w:p w14:paraId="45B7BDD5">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昌都市草原产业发展规划旨在</w:t>
      </w:r>
      <w:r>
        <w:rPr>
          <w:rFonts w:hint="eastAsia" w:ascii="Times New Roman" w:hAnsi="Times New Roman" w:eastAsia="宋体" w:cs="Times New Roman"/>
          <w:sz w:val="24"/>
          <w:szCs w:val="24"/>
        </w:rPr>
        <w:t>推动草业高质量发展和产业结构优化升级、有效修复退化草地和提升草原生态质量</w:t>
      </w:r>
      <w:r>
        <w:rPr>
          <w:rFonts w:ascii="Times New Roman" w:hAnsi="Times New Roman" w:eastAsia="宋体" w:cs="Times New Roman"/>
          <w:sz w:val="24"/>
          <w:szCs w:val="24"/>
        </w:rPr>
        <w:t>。</w:t>
      </w:r>
      <w:r>
        <w:rPr>
          <w:rFonts w:hint="eastAsia" w:ascii="Times New Roman" w:hAnsi="Times New Roman" w:eastAsia="宋体" w:cs="Times New Roman"/>
          <w:sz w:val="24"/>
          <w:szCs w:val="24"/>
        </w:rPr>
        <w:t>规划的重点项目建设</w:t>
      </w:r>
      <w:r>
        <w:rPr>
          <w:rFonts w:ascii="Times New Roman" w:hAnsi="Times New Roman" w:eastAsia="宋体" w:cs="Times New Roman"/>
          <w:sz w:val="24"/>
          <w:szCs w:val="24"/>
        </w:rPr>
        <w:t>虽然有助于</w:t>
      </w:r>
      <w:r>
        <w:rPr>
          <w:rFonts w:hint="eastAsia" w:ascii="Times New Roman" w:hAnsi="Times New Roman" w:eastAsia="宋体" w:cs="Times New Roman"/>
          <w:sz w:val="24"/>
          <w:szCs w:val="24"/>
        </w:rPr>
        <w:t>昌都市草原经济发展发展的目的</w:t>
      </w:r>
      <w:r>
        <w:rPr>
          <w:rFonts w:ascii="Times New Roman" w:hAnsi="Times New Roman" w:eastAsia="宋体" w:cs="Times New Roman"/>
          <w:sz w:val="24"/>
          <w:szCs w:val="24"/>
        </w:rPr>
        <w:t>，但也伴随着</w:t>
      </w:r>
      <w:r>
        <w:rPr>
          <w:rFonts w:hint="eastAsia" w:ascii="Times New Roman" w:hAnsi="Times New Roman" w:eastAsia="宋体" w:cs="Times New Roman"/>
          <w:sz w:val="24"/>
          <w:szCs w:val="24"/>
        </w:rPr>
        <w:t>废水、废气、噪声及固体废弃物等“三废一噪”</w:t>
      </w:r>
      <w:r>
        <w:rPr>
          <w:rFonts w:ascii="Times New Roman" w:hAnsi="Times New Roman" w:eastAsia="宋体" w:cs="Times New Roman"/>
          <w:sz w:val="24"/>
          <w:szCs w:val="24"/>
        </w:rPr>
        <w:t>的排放，</w:t>
      </w:r>
      <w:r>
        <w:rPr>
          <w:rFonts w:hint="eastAsia" w:ascii="Times New Roman" w:hAnsi="Times New Roman" w:eastAsia="宋体" w:cs="Times New Roman"/>
          <w:sz w:val="24"/>
          <w:szCs w:val="24"/>
        </w:rPr>
        <w:t>若处置不当则会</w:t>
      </w:r>
      <w:r>
        <w:rPr>
          <w:rFonts w:ascii="Times New Roman" w:hAnsi="Times New Roman" w:eastAsia="宋体" w:cs="Times New Roman"/>
          <w:sz w:val="24"/>
          <w:szCs w:val="24"/>
        </w:rPr>
        <w:t>对</w:t>
      </w:r>
      <w:r>
        <w:rPr>
          <w:rFonts w:hint="eastAsia" w:ascii="Times New Roman" w:hAnsi="Times New Roman" w:eastAsia="宋体" w:cs="Times New Roman"/>
          <w:sz w:val="24"/>
          <w:szCs w:val="24"/>
        </w:rPr>
        <w:t>区域地表水地下水</w:t>
      </w:r>
      <w:r>
        <w:rPr>
          <w:rFonts w:ascii="Times New Roman" w:hAnsi="Times New Roman" w:eastAsia="宋体" w:cs="Times New Roman"/>
          <w:sz w:val="24"/>
          <w:szCs w:val="24"/>
        </w:rPr>
        <w:t>、</w:t>
      </w:r>
      <w:r>
        <w:rPr>
          <w:rFonts w:hint="eastAsia" w:ascii="Times New Roman" w:hAnsi="Times New Roman" w:eastAsia="宋体" w:cs="Times New Roman"/>
          <w:sz w:val="24"/>
          <w:szCs w:val="24"/>
        </w:rPr>
        <w:t>环境</w:t>
      </w:r>
      <w:r>
        <w:rPr>
          <w:rFonts w:ascii="Times New Roman" w:hAnsi="Times New Roman" w:eastAsia="宋体" w:cs="Times New Roman"/>
          <w:sz w:val="24"/>
          <w:szCs w:val="24"/>
        </w:rPr>
        <w:t>空气</w:t>
      </w:r>
      <w:r>
        <w:rPr>
          <w:rFonts w:hint="eastAsia" w:ascii="Times New Roman" w:hAnsi="Times New Roman" w:eastAsia="宋体" w:cs="Times New Roman"/>
          <w:sz w:val="24"/>
          <w:szCs w:val="24"/>
        </w:rPr>
        <w:t>、</w:t>
      </w:r>
      <w:r>
        <w:rPr>
          <w:rFonts w:ascii="Times New Roman" w:hAnsi="Times New Roman" w:eastAsia="宋体" w:cs="Times New Roman"/>
          <w:sz w:val="24"/>
          <w:szCs w:val="24"/>
        </w:rPr>
        <w:t>土壤环境</w:t>
      </w:r>
      <w:r>
        <w:rPr>
          <w:rFonts w:hint="eastAsia" w:ascii="Times New Roman" w:hAnsi="Times New Roman" w:eastAsia="宋体" w:cs="Times New Roman"/>
          <w:sz w:val="24"/>
          <w:szCs w:val="24"/>
        </w:rPr>
        <w:t>和声环境</w:t>
      </w:r>
      <w:r>
        <w:rPr>
          <w:rFonts w:ascii="Times New Roman" w:hAnsi="Times New Roman" w:eastAsia="宋体" w:cs="Times New Roman"/>
          <w:sz w:val="24"/>
          <w:szCs w:val="24"/>
        </w:rPr>
        <w:t>造成污染。</w:t>
      </w:r>
    </w:p>
    <w:p w14:paraId="4C5E634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草原生态保护与修复对水环境的影响</w:t>
      </w:r>
      <w:r>
        <w:rPr>
          <w:rFonts w:hint="eastAsia" w:ascii="Times New Roman" w:hAnsi="Times New Roman" w:eastAsia="宋体" w:cs="Times New Roman"/>
          <w:sz w:val="24"/>
          <w:szCs w:val="24"/>
        </w:rPr>
        <w:t>主要体现在灌溉退水和基础设施污水排放上。同时，也对水资源利用有一定的影响。</w:t>
      </w:r>
      <w:r>
        <w:rPr>
          <w:rFonts w:ascii="Times New Roman" w:hAnsi="Times New Roman" w:eastAsia="宋体" w:cs="Times New Roman"/>
          <w:sz w:val="24"/>
          <w:szCs w:val="24"/>
        </w:rPr>
        <w:t>灌溉回归水主要对受退水</w:t>
      </w:r>
      <w:r>
        <w:rPr>
          <w:rFonts w:hint="eastAsia" w:ascii="Times New Roman" w:hAnsi="Times New Roman" w:eastAsia="宋体" w:cs="Times New Roman"/>
          <w:sz w:val="24"/>
          <w:szCs w:val="24"/>
        </w:rPr>
        <w:t>区</w:t>
      </w:r>
      <w:r>
        <w:rPr>
          <w:rFonts w:ascii="Times New Roman" w:hAnsi="Times New Roman" w:eastAsia="宋体" w:cs="Times New Roman"/>
          <w:sz w:val="24"/>
          <w:szCs w:val="24"/>
        </w:rPr>
        <w:t>水文情势和水质产生影响。</w:t>
      </w:r>
      <w:r>
        <w:rPr>
          <w:rFonts w:hint="eastAsia" w:ascii="Times New Roman" w:hAnsi="Times New Roman" w:eastAsia="宋体" w:cs="Times New Roman"/>
          <w:sz w:val="24"/>
          <w:szCs w:val="24"/>
        </w:rPr>
        <w:t>因此，在规划实施过程中，草原养护应避免施用化肥，而是使用有机肥进行替代，同时加强规划区测土配方肥，使用节水灌溉，减缓灌溉退水对区域地表水的影响；基础设施的污水应集中收集集中处置，能达标排入现有管网的应排入管网进行深度处置，不具备排入管网条件的区域应优先考虑使用一体化污水处理设备处理达到回用水标准回用或处理达到直接排放的标准排放，不得违规外排；新增取水的工程均应办理取水许可手续，合理安排取水过程，确保取水口区域水资源利用上限不超标。同时，灌溉过程中应尽可能采用节水灌溉措施，如</w:t>
      </w:r>
      <w:r>
        <w:rPr>
          <w:rFonts w:ascii="Times New Roman" w:hAnsi="Times New Roman" w:eastAsia="宋体" w:cs="Times New Roman"/>
          <w:sz w:val="24"/>
          <w:szCs w:val="24"/>
        </w:rPr>
        <w:t>滴灌、</w:t>
      </w:r>
      <w:r>
        <w:rPr>
          <w:rFonts w:hint="eastAsia" w:ascii="Times New Roman" w:hAnsi="Times New Roman" w:eastAsia="宋体" w:cs="Times New Roman"/>
          <w:sz w:val="24"/>
          <w:szCs w:val="24"/>
        </w:rPr>
        <w:t>喷灌、</w:t>
      </w:r>
      <w:r>
        <w:rPr>
          <w:rFonts w:ascii="Times New Roman" w:hAnsi="Times New Roman" w:eastAsia="宋体" w:cs="Times New Roman"/>
          <w:sz w:val="24"/>
          <w:szCs w:val="24"/>
        </w:rPr>
        <w:t>穴灌等</w:t>
      </w:r>
      <w:r>
        <w:rPr>
          <w:rFonts w:hint="eastAsia" w:ascii="Times New Roman" w:hAnsi="Times New Roman" w:eastAsia="宋体" w:cs="Times New Roman"/>
          <w:sz w:val="24"/>
          <w:szCs w:val="24"/>
        </w:rPr>
        <w:t>，提升水资源利用效率，降低水资源取用量。</w:t>
      </w:r>
    </w:p>
    <w:p w14:paraId="5425DAA6">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草原生态保护与修复对</w:t>
      </w:r>
      <w:r>
        <w:rPr>
          <w:rFonts w:hint="eastAsia" w:ascii="Times New Roman" w:hAnsi="Times New Roman" w:eastAsia="宋体" w:cs="Times New Roman"/>
          <w:sz w:val="24"/>
          <w:szCs w:val="24"/>
        </w:rPr>
        <w:t>大气</w:t>
      </w:r>
      <w:r>
        <w:rPr>
          <w:rFonts w:ascii="Times New Roman" w:hAnsi="Times New Roman" w:eastAsia="宋体" w:cs="Times New Roman"/>
          <w:sz w:val="24"/>
          <w:szCs w:val="24"/>
        </w:rPr>
        <w:t>环境的影响</w:t>
      </w:r>
      <w:r>
        <w:rPr>
          <w:rFonts w:hint="eastAsia" w:ascii="Times New Roman" w:hAnsi="Times New Roman" w:eastAsia="宋体" w:cs="Times New Roman"/>
          <w:sz w:val="24"/>
          <w:szCs w:val="24"/>
        </w:rPr>
        <w:t>主要体现在实施过程开挖等施工活动的粉尘排放、燃油机械尾气和施肥等过程的恶臭排放上。因此规划实施过程应避免在大风天气进行开挖作业，开挖土石方临时堆存及原材料堆放过程应进行遮盖，物料运输过程应封闭运输，运输车辆应禁止超载，并在场地内进行洒水，减少扬尘的影响。</w:t>
      </w:r>
    </w:p>
    <w:p w14:paraId="4F044FA8">
      <w:pPr>
        <w:spacing w:line="360" w:lineRule="auto"/>
        <w:ind w:firstLine="480" w:firstLineChars="200"/>
        <w:contextualSpacing/>
        <w:rPr>
          <w:rStyle w:val="28"/>
          <w:rFonts w:ascii="Times New Roman" w:hAnsi="Times New Roman" w:eastAsia="宋体" w:cs="Times New Roman"/>
          <w:color w:val="auto"/>
          <w:sz w:val="24"/>
          <w:szCs w:val="24"/>
          <w:u w:val="none"/>
        </w:rPr>
      </w:pPr>
      <w:bookmarkStart w:id="121" w:name="_Hlk219120102"/>
      <w:r>
        <w:rPr>
          <w:rFonts w:hint="eastAsia" w:ascii="Times New Roman" w:hAnsi="Times New Roman" w:eastAsia="宋体" w:cs="Times New Roman"/>
          <w:sz w:val="24"/>
          <w:szCs w:val="24"/>
        </w:rPr>
        <w:t>规划实施期间主要施工机械设备包括挖掘机、推土机、运输车辆等。施工机械噪声和运输噪声可能对周边及运输道路沿线居民产生不利影响。为减缓这种影响，规划实施过程中特别注意周边居民点等敏感保护目标的分布情况，完善实施区域内机械的布置尽量原理居民点，施工场地也应设置拦挡或隔声屏障，运输车辆应禁止超载超速，尽量减少规划实施的噪声产生的不利影响。</w:t>
      </w:r>
      <w:bookmarkEnd w:id="121"/>
    </w:p>
    <w:p w14:paraId="175AFFC1">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规划实施过程中固体废弃物主要来自于废弃土石方、基础设施建设废弃建筑材料、施工人员和运行管理人员生活垃圾等。规划实施过程中应加强固体废弃物处置，应做到1</w:t>
      </w:r>
      <w:r>
        <w:rPr>
          <w:rFonts w:ascii="Times New Roman" w:hAnsi="Times New Roman" w:eastAsia="宋体" w:cs="Times New Roman"/>
          <w:sz w:val="24"/>
          <w:szCs w:val="24"/>
        </w:rPr>
        <w:t>00%</w:t>
      </w:r>
      <w:r>
        <w:rPr>
          <w:rFonts w:hint="eastAsia" w:ascii="Times New Roman" w:hAnsi="Times New Roman" w:eastAsia="宋体" w:cs="Times New Roman"/>
          <w:sz w:val="24"/>
          <w:szCs w:val="24"/>
        </w:rPr>
        <w:t>处置，规划各项目实施过程应尽量做到土石方平衡，废弃土石方应运至合法弃渣场或其他项目进行回填，废弃建筑材料应集中运至区域建筑垃圾处理场进行处理，生活垃圾集中收集由环卫部门清运处置。</w:t>
      </w:r>
    </w:p>
    <w:p w14:paraId="5736A00E">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22" w:name="_Toc5735"/>
      <w:r>
        <w:rPr>
          <w:rStyle w:val="28"/>
          <w:rFonts w:hint="default" w:ascii="Times New Roman"/>
          <w:color w:val="auto"/>
          <w:kern w:val="2"/>
          <w:sz w:val="32"/>
          <w:szCs w:val="32"/>
          <w:u w:val="none"/>
        </w:rPr>
        <w:t>规划实施对经济社会和人文环境的影响</w:t>
      </w:r>
      <w:bookmarkEnd w:id="122"/>
    </w:p>
    <w:p w14:paraId="379152A6">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规划实施对昌都市</w:t>
      </w:r>
      <w:r>
        <w:rPr>
          <w:rFonts w:ascii="Times New Roman" w:hAnsi="Times New Roman" w:eastAsia="宋体" w:cs="Times New Roman"/>
          <w:sz w:val="24"/>
          <w:szCs w:val="24"/>
        </w:rPr>
        <w:t>的经济社会和人文环境具有重要意义。</w:t>
      </w:r>
      <w:r>
        <w:rPr>
          <w:rFonts w:hint="eastAsia" w:ascii="Times New Roman" w:hAnsi="Times New Roman" w:eastAsia="宋体" w:cs="Times New Roman"/>
          <w:sz w:val="24"/>
          <w:szCs w:val="24"/>
        </w:rPr>
        <w:t>规划实施可以增加昌都市农牧民就业机会，增加农牧民收入，同时助力昌都市经济的多元化发展，推动昌都市虫草行业合理有序健康增长，也能增加草光互补等外来投资的进入，推动昌都市绿色旅游产业的发展增加旅游收入，增加区域碳经济发展，推动区域经济结构转型</w:t>
      </w:r>
      <w:r>
        <w:rPr>
          <w:rFonts w:ascii="Times New Roman" w:hAnsi="Times New Roman" w:eastAsia="宋体" w:cs="Times New Roman"/>
          <w:sz w:val="24"/>
          <w:szCs w:val="24"/>
        </w:rPr>
        <w:t>。同时，草原生态的改善和草原文化的弘扬，也将对区域人文环境产生积极影响</w:t>
      </w:r>
      <w:r>
        <w:rPr>
          <w:rFonts w:hint="eastAsia" w:ascii="Times New Roman" w:hAnsi="Times New Roman" w:eastAsia="宋体" w:cs="Times New Roman"/>
          <w:sz w:val="24"/>
          <w:szCs w:val="24"/>
        </w:rPr>
        <w:t>，增强昌都市民族团结建设，促进区域社会稳定</w:t>
      </w:r>
      <w:r>
        <w:rPr>
          <w:rFonts w:ascii="Times New Roman" w:hAnsi="Times New Roman" w:eastAsia="宋体" w:cs="Times New Roman"/>
          <w:sz w:val="24"/>
          <w:szCs w:val="24"/>
        </w:rPr>
        <w:t>。草原景观的修复将提升昌都市的旅游吸引力，丰富当地居民和游客的文化体验，提升整体生态文明意识。</w:t>
      </w:r>
    </w:p>
    <w:p w14:paraId="628370BE">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23" w:name="_Toc31497"/>
      <w:r>
        <w:rPr>
          <w:rStyle w:val="28"/>
          <w:rFonts w:hint="default" w:ascii="Times New Roman"/>
          <w:color w:val="auto"/>
          <w:kern w:val="2"/>
          <w:sz w:val="32"/>
          <w:szCs w:val="32"/>
          <w:u w:val="none"/>
        </w:rPr>
        <w:t>环境保护措施</w:t>
      </w:r>
      <w:bookmarkEnd w:id="123"/>
    </w:p>
    <w:p w14:paraId="3C701AC3">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草原生态保护修复与草业发展规划在实施过程中对</w:t>
      </w:r>
      <w:r>
        <w:rPr>
          <w:rFonts w:hint="eastAsia" w:ascii="Times New Roman" w:hAnsi="Times New Roman" w:eastAsia="宋体" w:cs="Times New Roman"/>
          <w:sz w:val="24"/>
          <w:szCs w:val="24"/>
        </w:rPr>
        <w:t>生态</w:t>
      </w:r>
      <w:r>
        <w:rPr>
          <w:rFonts w:ascii="Times New Roman" w:hAnsi="Times New Roman" w:eastAsia="宋体" w:cs="Times New Roman"/>
          <w:sz w:val="24"/>
          <w:szCs w:val="24"/>
        </w:rPr>
        <w:t>环境</w:t>
      </w:r>
      <w:r>
        <w:rPr>
          <w:rFonts w:hint="eastAsia" w:ascii="Times New Roman" w:hAnsi="Times New Roman" w:eastAsia="宋体" w:cs="Times New Roman"/>
          <w:sz w:val="24"/>
          <w:szCs w:val="24"/>
        </w:rPr>
        <w:t>、“三废一噪”存在负面影响。整体来说，</w:t>
      </w:r>
      <w:r>
        <w:rPr>
          <w:rFonts w:ascii="Times New Roman" w:hAnsi="Times New Roman" w:eastAsia="宋体" w:cs="Times New Roman"/>
          <w:sz w:val="24"/>
          <w:szCs w:val="24"/>
        </w:rPr>
        <w:t>通过科学的管理和有效的环境保护措施，</w:t>
      </w:r>
      <w:r>
        <w:rPr>
          <w:rFonts w:hint="eastAsia" w:ascii="Times New Roman" w:hAnsi="Times New Roman" w:eastAsia="宋体" w:cs="Times New Roman"/>
          <w:sz w:val="24"/>
          <w:szCs w:val="24"/>
        </w:rPr>
        <w:t>这些</w:t>
      </w:r>
      <w:r>
        <w:rPr>
          <w:rFonts w:ascii="Times New Roman" w:hAnsi="Times New Roman" w:eastAsia="宋体" w:cs="Times New Roman"/>
          <w:sz w:val="24"/>
          <w:szCs w:val="24"/>
        </w:rPr>
        <w:t>负面影响总体可控，</w:t>
      </w:r>
      <w:r>
        <w:rPr>
          <w:rFonts w:hint="eastAsia" w:ascii="Times New Roman" w:hAnsi="Times New Roman" w:eastAsia="宋体" w:cs="Times New Roman"/>
          <w:sz w:val="24"/>
          <w:szCs w:val="24"/>
        </w:rPr>
        <w:t>对环境的不利</w:t>
      </w:r>
      <w:r>
        <w:rPr>
          <w:rFonts w:ascii="Times New Roman" w:hAnsi="Times New Roman" w:eastAsia="宋体" w:cs="Times New Roman"/>
          <w:sz w:val="24"/>
          <w:szCs w:val="24"/>
        </w:rPr>
        <w:t>影响可以被有效减缓。在昌都市草原生态修复项目的实施过程中，面对潜在的生态环境影响，必须采取有效的减缓措施，以保障环境的可持续性。</w:t>
      </w:r>
    </w:p>
    <w:p w14:paraId="5F77DE8D">
      <w:pPr>
        <w:pStyle w:val="4"/>
        <w:numPr>
          <w:ilvl w:val="2"/>
          <w:numId w:val="2"/>
        </w:numPr>
        <w:spacing w:before="120" w:after="120" w:line="360" w:lineRule="auto"/>
        <w:rPr>
          <w:rStyle w:val="28"/>
          <w:color w:val="auto"/>
          <w:sz w:val="28"/>
          <w:szCs w:val="28"/>
          <w:u w:val="none"/>
        </w:rPr>
      </w:pPr>
      <w:bookmarkStart w:id="124" w:name="_Toc5953"/>
      <w:r>
        <w:rPr>
          <w:rStyle w:val="28"/>
          <w:rFonts w:hint="eastAsia"/>
          <w:color w:val="auto"/>
          <w:sz w:val="28"/>
          <w:szCs w:val="28"/>
          <w:u w:val="none"/>
        </w:rPr>
        <w:t>强化大气污染防治、保障区域居民生活环境质量</w:t>
      </w:r>
      <w:bookmarkEnd w:id="124"/>
    </w:p>
    <w:p w14:paraId="6F62B88B">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强化大气污染防治是必要的步骤。在施工过程中，规划实施过程应避免在大风天气进行开挖作业，开挖土石方临时堆存及原材料堆放过程应进行遮盖，物料运输过程应封闭运输，运输车辆应禁止超载，施工场地设置拦挡，并在场地内进行洒水，减少扬尘的影响；同时规划实施过程肥料应选择合格产品，运输车辆定期维护，减少废气影响，保障周围居民的生活环境质量。</w:t>
      </w:r>
    </w:p>
    <w:p w14:paraId="5384916F">
      <w:pPr>
        <w:pStyle w:val="4"/>
        <w:numPr>
          <w:ilvl w:val="2"/>
          <w:numId w:val="2"/>
        </w:numPr>
        <w:spacing w:before="120" w:after="120" w:line="360" w:lineRule="auto"/>
        <w:rPr>
          <w:rStyle w:val="28"/>
          <w:color w:val="auto"/>
          <w:sz w:val="28"/>
          <w:szCs w:val="28"/>
          <w:u w:val="none"/>
        </w:rPr>
      </w:pPr>
      <w:bookmarkStart w:id="125" w:name="_Toc32305"/>
      <w:r>
        <w:rPr>
          <w:rStyle w:val="28"/>
          <w:rFonts w:hint="eastAsia"/>
          <w:color w:val="auto"/>
          <w:sz w:val="28"/>
          <w:szCs w:val="28"/>
          <w:u w:val="none"/>
        </w:rPr>
        <w:t>推进水污染防治、保障水资源质量</w:t>
      </w:r>
      <w:bookmarkEnd w:id="125"/>
    </w:p>
    <w:p w14:paraId="0A2B44D3">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规划实施过程中</w:t>
      </w:r>
      <w:r>
        <w:rPr>
          <w:rFonts w:ascii="Times New Roman" w:hAnsi="Times New Roman" w:eastAsia="宋体" w:cs="Times New Roman"/>
          <w:sz w:val="24"/>
          <w:szCs w:val="24"/>
        </w:rPr>
        <w:t>，</w:t>
      </w:r>
      <w:r>
        <w:rPr>
          <w:rFonts w:hint="eastAsia" w:ascii="Times New Roman" w:hAnsi="Times New Roman" w:eastAsia="宋体" w:cs="Times New Roman"/>
          <w:sz w:val="24"/>
          <w:szCs w:val="24"/>
        </w:rPr>
        <w:t>基础设施的污水应集中收集集中处置，能达标排入现有管网的应排入管网进行深度处置，不具备排入管网条件的区域应优先考虑使用一体化污水处理设备处理达到回用水标准回用或处理达到直接排放的标准排放，不得违规外排；</w:t>
      </w:r>
      <w:r>
        <w:rPr>
          <w:rFonts w:ascii="Times New Roman" w:hAnsi="Times New Roman" w:eastAsia="宋体" w:cs="Times New Roman"/>
          <w:sz w:val="24"/>
          <w:szCs w:val="24"/>
        </w:rPr>
        <w:t>加强施工管理及环保宣传，做好施工机械的日常维修保养；在施工场地和临时存土点布置临时截排水沟和沉砂，防止雨水将污染物带入水体等措施，确保施工不对</w:t>
      </w:r>
      <w:r>
        <w:rPr>
          <w:rFonts w:hint="eastAsia" w:ascii="Times New Roman" w:hAnsi="Times New Roman" w:eastAsia="宋体" w:cs="Times New Roman"/>
          <w:sz w:val="24"/>
          <w:szCs w:val="24"/>
        </w:rPr>
        <w:t>周边地表水、地下水</w:t>
      </w:r>
      <w:r>
        <w:rPr>
          <w:rFonts w:ascii="Times New Roman" w:hAnsi="Times New Roman" w:eastAsia="宋体" w:cs="Times New Roman"/>
          <w:sz w:val="24"/>
          <w:szCs w:val="24"/>
        </w:rPr>
        <w:t>造成污染。</w:t>
      </w:r>
    </w:p>
    <w:p w14:paraId="1E3FDCCD">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规划实施期间，应尽量减少化肥使用量，替换为有机肥，减少农药使用量，并采用节水灌溉，减少灌溉退水对周边地表水的影响。</w:t>
      </w:r>
      <w:r>
        <w:rPr>
          <w:rFonts w:hint="eastAsia" w:ascii="Times New Roman" w:hAnsi="Times New Roman" w:eastAsia="宋体" w:cs="Times New Roman"/>
          <w:sz w:val="24"/>
          <w:szCs w:val="24"/>
        </w:rPr>
        <w:t>同时，规划实施过程中，新增取水的工程均应办理取水许可手续，合理安排取水过程，确保取水口区域水资源利用上限不超标。</w:t>
      </w:r>
    </w:p>
    <w:p w14:paraId="33081432">
      <w:pPr>
        <w:pStyle w:val="4"/>
        <w:numPr>
          <w:ilvl w:val="2"/>
          <w:numId w:val="2"/>
        </w:numPr>
        <w:spacing w:before="120" w:after="120" w:line="360" w:lineRule="auto"/>
        <w:rPr>
          <w:rStyle w:val="28"/>
          <w:color w:val="auto"/>
          <w:sz w:val="28"/>
          <w:szCs w:val="28"/>
          <w:u w:val="none"/>
        </w:rPr>
      </w:pPr>
      <w:bookmarkStart w:id="126" w:name="_Toc2252"/>
      <w:r>
        <w:rPr>
          <w:rStyle w:val="28"/>
          <w:rFonts w:hint="eastAsia"/>
          <w:color w:val="auto"/>
          <w:sz w:val="28"/>
          <w:szCs w:val="28"/>
          <w:u w:val="none"/>
        </w:rPr>
        <w:t>加强噪声防治、保障区域声环境达标</w:t>
      </w:r>
      <w:bookmarkEnd w:id="126"/>
    </w:p>
    <w:p w14:paraId="64E0941A">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8"/>
        </w:rPr>
        <w:t>规划实施过程中</w:t>
      </w:r>
      <w:r>
        <w:rPr>
          <w:rFonts w:ascii="Times New Roman" w:hAnsi="Times New Roman" w:eastAsia="宋体" w:cs="Times New Roman"/>
          <w:sz w:val="24"/>
          <w:szCs w:val="28"/>
        </w:rPr>
        <w:t>特别注意</w:t>
      </w:r>
      <w:r>
        <w:rPr>
          <w:rFonts w:hint="eastAsia" w:ascii="Times New Roman" w:hAnsi="Times New Roman" w:eastAsia="宋体" w:cs="Times New Roman"/>
          <w:sz w:val="24"/>
          <w:szCs w:val="28"/>
        </w:rPr>
        <w:t>周边居民点等敏感保护目标的分布情况，完善实施区域内机械的布置尽量原理居民点，施工场地也应设置拦挡或隔声屏障，运输车辆应禁止超载超速，尽量减少规划实施的噪声产生的不利影响，确保区域声环境质量达标</w:t>
      </w:r>
      <w:r>
        <w:rPr>
          <w:rFonts w:ascii="Times New Roman" w:hAnsi="Times New Roman" w:eastAsia="宋体" w:cs="Times New Roman"/>
          <w:sz w:val="24"/>
          <w:szCs w:val="28"/>
        </w:rPr>
        <w:t>。</w:t>
      </w:r>
    </w:p>
    <w:p w14:paraId="297ABCAC">
      <w:pPr>
        <w:pStyle w:val="4"/>
        <w:numPr>
          <w:ilvl w:val="2"/>
          <w:numId w:val="2"/>
        </w:numPr>
        <w:spacing w:before="120" w:after="120" w:line="360" w:lineRule="auto"/>
        <w:rPr>
          <w:rStyle w:val="28"/>
          <w:color w:val="auto"/>
          <w:sz w:val="28"/>
          <w:szCs w:val="28"/>
          <w:u w:val="none"/>
        </w:rPr>
      </w:pPr>
      <w:bookmarkStart w:id="127" w:name="_Toc5161"/>
      <w:r>
        <w:rPr>
          <w:rStyle w:val="28"/>
          <w:rFonts w:hint="eastAsia"/>
          <w:color w:val="auto"/>
          <w:sz w:val="28"/>
          <w:szCs w:val="28"/>
          <w:u w:val="none"/>
        </w:rPr>
        <w:t>合理处置固体废弃物，助力无废城市建设</w:t>
      </w:r>
      <w:bookmarkEnd w:id="127"/>
    </w:p>
    <w:p w14:paraId="42FB3079">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各项目实施过程应尽量做到土石方平衡，废弃土石方应运至合法弃渣场或其他项目进行回填，废弃建筑材料应集中运至区域建筑垃圾处理场进行处理，生活垃圾集中收集由环卫部门清运处置。固体废弃物应按照环保要求，做到1</w:t>
      </w:r>
      <w:r>
        <w:rPr>
          <w:rFonts w:ascii="Times New Roman" w:hAnsi="Times New Roman" w:eastAsia="宋体" w:cs="Times New Roman"/>
          <w:sz w:val="24"/>
          <w:szCs w:val="24"/>
        </w:rPr>
        <w:t>00%</w:t>
      </w:r>
      <w:r>
        <w:rPr>
          <w:rFonts w:hint="eastAsia" w:ascii="Times New Roman" w:hAnsi="Times New Roman" w:eastAsia="宋体" w:cs="Times New Roman"/>
          <w:sz w:val="24"/>
          <w:szCs w:val="24"/>
        </w:rPr>
        <w:t>处置。</w:t>
      </w:r>
    </w:p>
    <w:p w14:paraId="28DF56E1">
      <w:pPr>
        <w:pStyle w:val="4"/>
        <w:numPr>
          <w:ilvl w:val="2"/>
          <w:numId w:val="2"/>
        </w:numPr>
        <w:spacing w:before="120" w:after="120" w:line="360" w:lineRule="auto"/>
        <w:rPr>
          <w:rStyle w:val="28"/>
          <w:color w:val="auto"/>
          <w:sz w:val="28"/>
          <w:szCs w:val="28"/>
          <w:u w:val="none"/>
        </w:rPr>
      </w:pPr>
      <w:bookmarkStart w:id="128" w:name="_Toc29754"/>
      <w:r>
        <w:rPr>
          <w:rStyle w:val="28"/>
          <w:rFonts w:hint="eastAsia"/>
          <w:color w:val="auto"/>
          <w:sz w:val="28"/>
          <w:szCs w:val="28"/>
          <w:u w:val="none"/>
        </w:rPr>
        <w:t>重视生态系统保护措施，确保生态环境稳定</w:t>
      </w:r>
      <w:bookmarkEnd w:id="128"/>
    </w:p>
    <w:p w14:paraId="345EA7F5">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8"/>
        </w:rPr>
        <w:t>规划实施过程应严格</w:t>
      </w:r>
      <w:r>
        <w:rPr>
          <w:rFonts w:hint="eastAsia" w:ascii="Times New Roman" w:hAnsi="Times New Roman" w:eastAsia="宋体" w:cs="Times New Roman"/>
          <w:sz w:val="24"/>
          <w:szCs w:val="28"/>
        </w:rPr>
        <w:t>按照项目红线</w:t>
      </w:r>
      <w:r>
        <w:rPr>
          <w:rFonts w:ascii="Times New Roman" w:hAnsi="Times New Roman" w:eastAsia="宋体" w:cs="Times New Roman"/>
          <w:sz w:val="24"/>
          <w:szCs w:val="28"/>
        </w:rPr>
        <w:t>控制开挖用地范围</w:t>
      </w:r>
      <w:r>
        <w:rPr>
          <w:rFonts w:hint="eastAsia" w:ascii="Times New Roman" w:hAnsi="Times New Roman" w:eastAsia="宋体" w:cs="Times New Roman"/>
          <w:sz w:val="24"/>
          <w:szCs w:val="28"/>
        </w:rPr>
        <w:t>；</w:t>
      </w:r>
      <w:r>
        <w:rPr>
          <w:rFonts w:ascii="Times New Roman" w:hAnsi="Times New Roman" w:eastAsia="宋体" w:cs="Times New Roman"/>
          <w:sz w:val="24"/>
          <w:szCs w:val="28"/>
        </w:rPr>
        <w:t>加强施工人员宣传教育</w:t>
      </w:r>
      <w:r>
        <w:rPr>
          <w:rFonts w:hint="eastAsia" w:ascii="Times New Roman" w:hAnsi="Times New Roman" w:eastAsia="宋体" w:cs="Times New Roman"/>
          <w:sz w:val="24"/>
          <w:szCs w:val="28"/>
        </w:rPr>
        <w:t>；</w:t>
      </w:r>
      <w:r>
        <w:rPr>
          <w:rFonts w:ascii="Times New Roman" w:hAnsi="Times New Roman" w:eastAsia="宋体" w:cs="Times New Roman"/>
          <w:sz w:val="24"/>
          <w:szCs w:val="28"/>
        </w:rPr>
        <w:t>合理安排施工时间</w:t>
      </w:r>
      <w:r>
        <w:rPr>
          <w:rFonts w:hint="eastAsia" w:ascii="Times New Roman" w:hAnsi="Times New Roman" w:eastAsia="宋体" w:cs="Times New Roman"/>
          <w:sz w:val="24"/>
          <w:szCs w:val="28"/>
        </w:rPr>
        <w:t>；</w:t>
      </w:r>
      <w:r>
        <w:rPr>
          <w:rFonts w:ascii="Times New Roman" w:hAnsi="Times New Roman" w:eastAsia="宋体" w:cs="Times New Roman"/>
          <w:sz w:val="24"/>
          <w:szCs w:val="28"/>
        </w:rPr>
        <w:t>严格控制化肥施用量，优先选择符合环保标准的有机肥</w:t>
      </w:r>
      <w:r>
        <w:rPr>
          <w:rFonts w:hint="eastAsia" w:ascii="Times New Roman" w:hAnsi="Times New Roman" w:eastAsia="宋体" w:cs="Times New Roman"/>
          <w:sz w:val="24"/>
          <w:szCs w:val="28"/>
        </w:rPr>
        <w:t>；</w:t>
      </w:r>
      <w:r>
        <w:rPr>
          <w:rFonts w:ascii="Times New Roman" w:hAnsi="Times New Roman" w:eastAsia="宋体" w:cs="Times New Roman"/>
          <w:sz w:val="24"/>
          <w:szCs w:val="28"/>
        </w:rPr>
        <w:t>施工结束后及时清理施工现场并进行植被恢复</w:t>
      </w:r>
      <w:r>
        <w:rPr>
          <w:rFonts w:hint="eastAsia" w:ascii="Times New Roman" w:hAnsi="Times New Roman" w:eastAsia="宋体" w:cs="Times New Roman"/>
          <w:sz w:val="24"/>
          <w:szCs w:val="28"/>
        </w:rPr>
        <w:t>、</w:t>
      </w:r>
      <w:r>
        <w:rPr>
          <w:rFonts w:ascii="Times New Roman" w:hAnsi="Times New Roman" w:eastAsia="宋体" w:cs="Times New Roman"/>
          <w:sz w:val="24"/>
          <w:szCs w:val="28"/>
        </w:rPr>
        <w:t>在草原病虫害防治工程中应优先采取生物防治、物理防治等环保措施，减少化学药剂的使用</w:t>
      </w:r>
      <w:r>
        <w:rPr>
          <w:rFonts w:hint="eastAsia" w:ascii="Times New Roman" w:hAnsi="Times New Roman" w:eastAsia="宋体" w:cs="Times New Roman"/>
          <w:sz w:val="24"/>
          <w:szCs w:val="28"/>
        </w:rPr>
        <w:t>；</w:t>
      </w:r>
      <w:r>
        <w:rPr>
          <w:rFonts w:ascii="Times New Roman" w:hAnsi="Times New Roman" w:eastAsia="宋体" w:cs="Times New Roman"/>
          <w:sz w:val="24"/>
          <w:szCs w:val="28"/>
        </w:rPr>
        <w:t>加强对</w:t>
      </w:r>
      <w:r>
        <w:rPr>
          <w:rFonts w:hint="eastAsia" w:ascii="Times New Roman" w:hAnsi="Times New Roman" w:eastAsia="宋体" w:cs="Times New Roman"/>
          <w:sz w:val="24"/>
          <w:szCs w:val="28"/>
        </w:rPr>
        <w:t>防治从业人员、牧民等</w:t>
      </w:r>
      <w:r>
        <w:rPr>
          <w:rFonts w:ascii="Times New Roman" w:hAnsi="Times New Roman" w:eastAsia="宋体" w:cs="Times New Roman"/>
          <w:sz w:val="24"/>
          <w:szCs w:val="28"/>
        </w:rPr>
        <w:t>的技术培训，</w:t>
      </w:r>
      <w:r>
        <w:rPr>
          <w:rFonts w:hint="eastAsia" w:ascii="Times New Roman" w:hAnsi="Times New Roman" w:eastAsia="宋体" w:cs="Times New Roman"/>
          <w:sz w:val="24"/>
          <w:szCs w:val="28"/>
        </w:rPr>
        <w:t>合理使用化学药剂，尽量引导</w:t>
      </w:r>
      <w:r>
        <w:rPr>
          <w:rFonts w:ascii="Times New Roman" w:hAnsi="Times New Roman" w:eastAsia="宋体" w:cs="Times New Roman"/>
          <w:sz w:val="24"/>
          <w:szCs w:val="28"/>
        </w:rPr>
        <w:t>使用低毒、低残留的绿色农药</w:t>
      </w:r>
      <w:r>
        <w:rPr>
          <w:rFonts w:hint="eastAsia" w:ascii="Times New Roman" w:hAnsi="Times New Roman" w:eastAsia="宋体" w:cs="Times New Roman"/>
          <w:sz w:val="24"/>
          <w:szCs w:val="28"/>
        </w:rPr>
        <w:t>。</w:t>
      </w:r>
      <w:r>
        <w:rPr>
          <w:rFonts w:ascii="Times New Roman" w:hAnsi="Times New Roman" w:eastAsia="宋体" w:cs="Times New Roman"/>
          <w:sz w:val="24"/>
          <w:szCs w:val="28"/>
        </w:rPr>
        <w:t>保障区域生态环境的稳定，不因本规划的实施引入外来入侵物种及破坏区域生态环境的多样性、稳定性。</w:t>
      </w:r>
    </w:p>
    <w:p w14:paraId="1C72C683">
      <w:pPr>
        <w:pStyle w:val="4"/>
        <w:numPr>
          <w:ilvl w:val="2"/>
          <w:numId w:val="2"/>
        </w:numPr>
        <w:spacing w:before="120" w:after="120" w:line="360" w:lineRule="auto"/>
        <w:rPr>
          <w:rStyle w:val="28"/>
          <w:color w:val="auto"/>
          <w:sz w:val="28"/>
          <w:szCs w:val="28"/>
          <w:u w:val="none"/>
        </w:rPr>
      </w:pPr>
      <w:bookmarkStart w:id="129" w:name="_Toc637"/>
      <w:r>
        <w:rPr>
          <w:rStyle w:val="28"/>
          <w:color w:val="auto"/>
          <w:sz w:val="28"/>
          <w:szCs w:val="28"/>
          <w:u w:val="none"/>
        </w:rPr>
        <w:t>实施区域联防联控</w:t>
      </w:r>
      <w:bookmarkEnd w:id="129"/>
    </w:p>
    <w:p w14:paraId="7497C891">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实施区域联防联控，鼓励不同部门和地方政府之间的合作与协调，形成强大的生态保护合力。通过信息共享、资源整合，确保在草原生态修复过程中，能够及时识别和应对可能出现的生态问题，以实现生态环境的有效保护和修复。通过这些综合措施，</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在推进草原生态修复与产业发展时，能够维护生态环境的可持续性，促进经济与生态的双赢发展。</w:t>
      </w:r>
    </w:p>
    <w:p w14:paraId="00A76E9B">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0" w:name="_Toc28032"/>
      <w:r>
        <w:rPr>
          <w:rStyle w:val="28"/>
          <w:rFonts w:ascii="Times New Roman" w:hAnsi="Times New Roman"/>
          <w:color w:val="auto"/>
          <w:kern w:val="2"/>
          <w:sz w:val="32"/>
          <w:szCs w:val="32"/>
          <w:u w:val="none"/>
        </w:rPr>
        <w:t>对</w:t>
      </w:r>
      <w:r>
        <w:rPr>
          <w:rStyle w:val="28"/>
          <w:rFonts w:hint="default" w:ascii="Times New Roman" w:hAnsi="Times New Roman"/>
          <w:color w:val="auto"/>
          <w:kern w:val="2"/>
          <w:sz w:val="32"/>
          <w:szCs w:val="32"/>
          <w:u w:val="none"/>
        </w:rPr>
        <w:t>规划项目的环境影响评价要求</w:t>
      </w:r>
      <w:bookmarkEnd w:id="130"/>
    </w:p>
    <w:p w14:paraId="0663BCC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规划方案涉及</w:t>
      </w:r>
      <w:r>
        <w:rPr>
          <w:rFonts w:hint="eastAsia" w:ascii="Times New Roman" w:hAnsi="Times New Roman" w:eastAsia="宋体" w:cs="Times New Roman"/>
          <w:sz w:val="24"/>
          <w:szCs w:val="24"/>
        </w:rPr>
        <w:t>项目众多，在项目实施过程中，若项目</w:t>
      </w:r>
      <w:r>
        <w:rPr>
          <w:rFonts w:hint="eastAsia" w:ascii="Times New Roman" w:hAnsi="Times New Roman" w:eastAsia="宋体" w:cs="Times New Roman"/>
          <w:color w:val="1901FB"/>
          <w:sz w:val="24"/>
          <w:szCs w:val="24"/>
        </w:rPr>
        <w:t>属于《建设项目环境影响评价分类管理名录》</w:t>
      </w:r>
      <w:r>
        <w:rPr>
          <w:rFonts w:hint="eastAsia" w:ascii="Times New Roman" w:hAnsi="Times New Roman" w:eastAsia="宋体" w:cs="Times New Roman"/>
          <w:sz w:val="24"/>
          <w:szCs w:val="24"/>
        </w:rPr>
        <w:t>中规定的需要进行建设项目环境影响评价的项目，应单独办理环境影响评价手续。</w:t>
      </w:r>
    </w:p>
    <w:p w14:paraId="28547D26">
      <w:pPr>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03173561">
      <w:pPr>
        <w:pStyle w:val="2"/>
        <w:numPr>
          <w:ilvl w:val="0"/>
          <w:numId w:val="2"/>
        </w:numPr>
        <w:spacing w:before="156" w:after="156" w:line="360" w:lineRule="auto"/>
        <w:rPr>
          <w:rFonts w:eastAsia="宋体"/>
          <w:bCs/>
          <w:snapToGrid/>
          <w:kern w:val="44"/>
          <w:szCs w:val="44"/>
        </w:rPr>
      </w:pPr>
      <w:bookmarkStart w:id="131" w:name="_Toc18305"/>
      <w:r>
        <w:rPr>
          <w:rFonts w:eastAsia="宋体"/>
          <w:bCs/>
          <w:snapToGrid/>
          <w:kern w:val="44"/>
          <w:szCs w:val="44"/>
        </w:rPr>
        <w:t>保障措施</w:t>
      </w:r>
      <w:bookmarkEnd w:id="131"/>
    </w:p>
    <w:p w14:paraId="62EF82B0">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2" w:name="_Toc4879"/>
      <w:r>
        <w:rPr>
          <w:rStyle w:val="28"/>
          <w:rFonts w:hint="default" w:ascii="Times New Roman" w:hAnsi="Times New Roman"/>
          <w:color w:val="auto"/>
          <w:kern w:val="2"/>
          <w:sz w:val="32"/>
          <w:szCs w:val="32"/>
          <w:u w:val="none"/>
        </w:rPr>
        <w:t>组织保障</w:t>
      </w:r>
      <w:bookmarkEnd w:id="132"/>
    </w:p>
    <w:p w14:paraId="2582CB32">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加强组织领导，强化责任监管</w:t>
      </w:r>
    </w:p>
    <w:p w14:paraId="7ED9FEF6">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建立健全的管理体系，确保各项工作的有序开展与有效协调。</w:t>
      </w:r>
      <w:r>
        <w:rPr>
          <w:rFonts w:hint="eastAsia" w:ascii="Times New Roman" w:hAnsi="Times New Roman" w:eastAsia="宋体" w:cs="Times New Roman"/>
          <w:sz w:val="24"/>
          <w:szCs w:val="24"/>
        </w:rPr>
        <w:t>以昌都市林业和草原局作为草原保护的主管机构</w:t>
      </w:r>
      <w:r>
        <w:rPr>
          <w:rFonts w:ascii="Times New Roman" w:hAnsi="Times New Roman" w:eastAsia="宋体" w:cs="Times New Roman"/>
          <w:sz w:val="24"/>
          <w:szCs w:val="24"/>
        </w:rPr>
        <w:t>，推动各部门和</w:t>
      </w:r>
      <w:r>
        <w:rPr>
          <w:rFonts w:hint="eastAsia" w:ascii="Times New Roman" w:hAnsi="Times New Roman" w:eastAsia="宋体" w:cs="Times New Roman"/>
          <w:sz w:val="24"/>
          <w:szCs w:val="24"/>
        </w:rPr>
        <w:t>各县</w:t>
      </w:r>
      <w:r>
        <w:rPr>
          <w:rFonts w:ascii="Times New Roman" w:hAnsi="Times New Roman" w:eastAsia="宋体" w:cs="Times New Roman"/>
          <w:sz w:val="24"/>
          <w:szCs w:val="24"/>
        </w:rPr>
        <w:t>政府之间的协作，明确</w:t>
      </w:r>
      <w:r>
        <w:rPr>
          <w:rFonts w:hint="eastAsia" w:ascii="Times New Roman" w:hAnsi="Times New Roman" w:eastAsia="宋体" w:cs="Times New Roman"/>
          <w:sz w:val="24"/>
          <w:szCs w:val="24"/>
        </w:rPr>
        <w:t>各单位</w:t>
      </w:r>
      <w:r>
        <w:rPr>
          <w:rFonts w:ascii="Times New Roman" w:hAnsi="Times New Roman" w:eastAsia="宋体" w:cs="Times New Roman"/>
          <w:sz w:val="24"/>
          <w:szCs w:val="24"/>
        </w:rPr>
        <w:t>责任和任务，形成强有力的组织保障，从而提升草原保护与修复的整体效率。</w:t>
      </w:r>
    </w:p>
    <w:p w14:paraId="7C23C33A">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建议昌都</w:t>
      </w:r>
      <w:r>
        <w:rPr>
          <w:rFonts w:ascii="Times New Roman" w:hAnsi="Times New Roman" w:eastAsia="宋体" w:cs="Times New Roman"/>
          <w:sz w:val="24"/>
          <w:szCs w:val="24"/>
        </w:rPr>
        <w:t>市政府成立领导小组，全面指导昌都市草原保护修复利用发展规划方案的实施，审议重大工程、重大项目和年度工作安排</w:t>
      </w:r>
      <w:r>
        <w:rPr>
          <w:rFonts w:hint="eastAsia" w:ascii="Times New Roman" w:hAnsi="Times New Roman" w:eastAsia="宋体" w:cs="Times New Roman"/>
          <w:sz w:val="24"/>
          <w:szCs w:val="24"/>
        </w:rPr>
        <w:t>，注重统筹谋划，完善配套制度，落实责任主体，加大财政投入，协调相关部门各负其责</w:t>
      </w:r>
      <w:r>
        <w:rPr>
          <w:rFonts w:ascii="Times New Roman" w:hAnsi="Times New Roman" w:eastAsia="宋体" w:cs="Times New Roman"/>
          <w:sz w:val="24"/>
          <w:szCs w:val="24"/>
        </w:rPr>
        <w:t>。相关</w:t>
      </w:r>
      <w:r>
        <w:rPr>
          <w:rFonts w:hint="eastAsia" w:ascii="Times New Roman" w:hAnsi="Times New Roman" w:eastAsia="宋体" w:cs="Times New Roman"/>
          <w:sz w:val="24"/>
          <w:szCs w:val="24"/>
        </w:rPr>
        <w:t>部门</w:t>
      </w:r>
      <w:r>
        <w:rPr>
          <w:rFonts w:ascii="Times New Roman" w:hAnsi="Times New Roman" w:eastAsia="宋体" w:cs="Times New Roman"/>
          <w:sz w:val="24"/>
          <w:szCs w:val="24"/>
        </w:rPr>
        <w:t>要落实工作责任，细化工作方案，逐项抓好落实</w:t>
      </w:r>
      <w:r>
        <w:rPr>
          <w:rFonts w:hint="eastAsia" w:ascii="Times New Roman" w:hAnsi="Times New Roman" w:eastAsia="宋体" w:cs="Times New Roman"/>
          <w:sz w:val="24"/>
          <w:szCs w:val="24"/>
        </w:rPr>
        <w:t>，</w:t>
      </w:r>
      <w:r>
        <w:rPr>
          <w:rFonts w:ascii="Times New Roman" w:hAnsi="Times New Roman" w:eastAsia="宋体" w:cs="Times New Roman"/>
          <w:sz w:val="24"/>
          <w:szCs w:val="24"/>
        </w:rPr>
        <w:t>确保规划实施顺利。领导小组办公室要加强对本规划实施的跟踪分析，做好政策研究、统筹协调、督促落实等工作。各县（区）、乡镇和各相关部门应充分认识草原生态保护修复利用在全市国民经济发展中的重要作用，切实发挥大局意识，各负其责，通力协作，积极支持，群策群力地抓好昌都市草原生态保护修复利用工作。</w:t>
      </w:r>
    </w:p>
    <w:p w14:paraId="182ADF2B">
      <w:pPr>
        <w:spacing w:line="360" w:lineRule="auto"/>
        <w:ind w:firstLine="480" w:firstLineChars="200"/>
        <w:rPr>
          <w:sz w:val="24"/>
          <w:szCs w:val="24"/>
        </w:rPr>
      </w:pPr>
      <w:r>
        <w:rPr>
          <w:rFonts w:hint="eastAsia"/>
          <w:sz w:val="24"/>
          <w:szCs w:val="24"/>
        </w:rPr>
        <w:t>同时应健全规划实施考核机制，加强草原修复发展建设项目资金监督管理，强化监督检查责任。定期和不定期组织开展专项督察，对规划实施情况进行跟踪评估，适时调整工作任务，及时协调解决重大问题，强化规划的落实和执行，确保规划目标的实现。</w:t>
      </w:r>
    </w:p>
    <w:p w14:paraId="119E83F8">
      <w:pPr>
        <w:spacing w:line="360" w:lineRule="auto"/>
        <w:ind w:firstLine="480" w:firstLineChars="200"/>
        <w:rPr>
          <w:rFonts w:ascii="Times New Roman" w:hAnsi="Times New Roman" w:eastAsia="宋体" w:cs="Times New Roman"/>
          <w:sz w:val="24"/>
          <w:szCs w:val="24"/>
        </w:rPr>
      </w:pPr>
      <w:r>
        <w:rPr>
          <w:rFonts w:hint="eastAsia"/>
          <w:sz w:val="24"/>
          <w:szCs w:val="24"/>
        </w:rPr>
        <w:t>基本草原保护、草畜平衡等制度落实情况应纳入地方各级人民政府年度目标考核，细化考核指标，压实地方责任。</w:t>
      </w:r>
    </w:p>
    <w:p w14:paraId="2009C7E3">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3" w:name="_Toc25510"/>
      <w:r>
        <w:rPr>
          <w:rStyle w:val="28"/>
          <w:rFonts w:hint="default" w:ascii="Times New Roman" w:hAnsi="Times New Roman"/>
          <w:color w:val="auto"/>
          <w:kern w:val="2"/>
          <w:sz w:val="32"/>
          <w:szCs w:val="32"/>
          <w:u w:val="none"/>
        </w:rPr>
        <w:t>制度保障</w:t>
      </w:r>
      <w:bookmarkEnd w:id="133"/>
    </w:p>
    <w:p w14:paraId="7F114247">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完善法律法规体系，健全草原保护修复制度体系</w:t>
      </w:r>
    </w:p>
    <w:p w14:paraId="599147E8">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加快推动草原保护相关的地方性法规制定，健全草原保护修复制度体系。加大现有草原法律法规贯彻实施力度，建立健全违法举报等机制，依法打击各类破坏草原的违法行为。</w:t>
      </w:r>
    </w:p>
    <w:p w14:paraId="508C85AA">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科学实施草原分类经营，完善草业资源管理制度</w:t>
      </w:r>
    </w:p>
    <w:p w14:paraId="7BF98B76">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科学实施</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分类经营</w:t>
      </w:r>
      <w:r>
        <w:rPr>
          <w:rFonts w:hint="eastAsia" w:ascii="Times New Roman" w:hAnsi="Times New Roman" w:eastAsia="宋体" w:cs="Times New Roman"/>
          <w:sz w:val="24"/>
          <w:szCs w:val="24"/>
        </w:rPr>
        <w:t>，推行分区施策、分类管控、分级治理，根据昌都市目前草原健康情况，分级分片区进行修复和开发管理，系统构建草原功能分类管控制度体系</w:t>
      </w:r>
      <w:r>
        <w:rPr>
          <w:rFonts w:ascii="Times New Roman" w:hAnsi="Times New Roman" w:eastAsia="宋体" w:cs="Times New Roman"/>
          <w:sz w:val="24"/>
          <w:szCs w:val="24"/>
        </w:rPr>
        <w:t>。</w:t>
      </w:r>
    </w:p>
    <w:p w14:paraId="6742FC23">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落实国家关于支持乡村振兴的有关用地政策，在不破坏生态和严格履行程序的前提下，保障</w:t>
      </w:r>
      <w:r>
        <w:rPr>
          <w:rFonts w:hint="eastAsia" w:ascii="Times New Roman" w:hAnsi="Times New Roman" w:eastAsia="宋体" w:cs="Times New Roman"/>
          <w:sz w:val="24"/>
          <w:szCs w:val="24"/>
        </w:rPr>
        <w:t>草业</w:t>
      </w:r>
      <w:r>
        <w:rPr>
          <w:rFonts w:ascii="Times New Roman" w:hAnsi="Times New Roman" w:eastAsia="宋体" w:cs="Times New Roman"/>
          <w:sz w:val="24"/>
          <w:szCs w:val="24"/>
        </w:rPr>
        <w:t>产业用地。落实国有资产报告制度要求，丰富和完善林草资源资产报告内容。</w:t>
      </w:r>
    </w:p>
    <w:p w14:paraId="34092A65">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落实国家队草种业发展的政策优惠，建立扶持草种质资源保护、草种生产基地补贴、育繁推一体化发展的政策体系。严抓规划所使用</w:t>
      </w:r>
      <w:r>
        <w:rPr>
          <w:rFonts w:ascii="Times New Roman" w:hAnsi="Times New Roman" w:eastAsia="宋体" w:cs="Times New Roman"/>
          <w:sz w:val="24"/>
          <w:szCs w:val="24"/>
        </w:rPr>
        <w:t>草种质量管理工作，尤其是草原生态保护修复用种标准，探索建立草种生产经营全过程的追溯制度。</w:t>
      </w:r>
    </w:p>
    <w:p w14:paraId="4A18D45B">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规范工程管理，理顺运行机制</w:t>
      </w:r>
    </w:p>
    <w:p w14:paraId="5CC14DF1">
      <w:pPr>
        <w:spacing w:line="360" w:lineRule="auto"/>
        <w:ind w:firstLine="480" w:firstLineChars="200"/>
        <w:rPr>
          <w:sz w:val="24"/>
          <w:szCs w:val="24"/>
        </w:rPr>
      </w:pPr>
      <w:r>
        <w:rPr>
          <w:rFonts w:hint="eastAsia" w:ascii="Times New Roman" w:hAnsi="Times New Roman" w:eastAsia="宋体" w:cs="Times New Roman"/>
          <w:sz w:val="24"/>
          <w:szCs w:val="24"/>
        </w:rPr>
        <w:t>规范工程管理与理顺运行机制也是保障措施的重要组成部分。各部门建设管理机构负责牵头抓总，统筹协调有关重点工程的实施及监督、评估、绩效考核、竣工验收等。责任主体要切实履行好计划执行、项目建设、日常调度、资金使用等在线监管责任，确保工程建设质量和效果。结合实际规范项目、资金、招投标、监理、验收、档案、安全生产、公示等方面管理，制定项目的管理办法和技术标准。定期开展监测评估，建立建设项目动态调整机制。各相关部门要依据职责密切配合，加强计划、建设管理和指导，强化监管，积极支持工程建设。制定明确的工程标准和实施细则，确保项目的顺利推进和质量控制，从而最大限度地提升工程的效果与效率，确保草原修复工作的高质量完成。</w:t>
      </w:r>
    </w:p>
    <w:p w14:paraId="419297A3">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4" w:name="_Toc22602"/>
      <w:r>
        <w:rPr>
          <w:rStyle w:val="28"/>
          <w:rFonts w:hint="default" w:ascii="Times New Roman" w:hAnsi="Times New Roman"/>
          <w:color w:val="auto"/>
          <w:kern w:val="2"/>
          <w:sz w:val="32"/>
          <w:szCs w:val="32"/>
          <w:u w:val="none"/>
        </w:rPr>
        <w:t>治理保障</w:t>
      </w:r>
      <w:bookmarkEnd w:id="134"/>
    </w:p>
    <w:p w14:paraId="60A4C235">
      <w:pPr>
        <w:spacing w:line="360" w:lineRule="auto"/>
        <w:ind w:firstLine="482" w:firstLineChars="200"/>
        <w:rPr>
          <w:rFonts w:ascii="宋体" w:hAnsi="宋体" w:eastAsia="宋体"/>
          <w:b/>
          <w:bCs/>
          <w:sz w:val="24"/>
          <w:szCs w:val="24"/>
        </w:rPr>
      </w:pPr>
      <w:r>
        <w:rPr>
          <w:rFonts w:ascii="宋体" w:hAnsi="宋体" w:eastAsia="宋体"/>
          <w:b/>
          <w:bCs/>
          <w:sz w:val="24"/>
          <w:szCs w:val="24"/>
        </w:rPr>
        <w:t>强化草原执法，加强监督管理</w:t>
      </w:r>
    </w:p>
    <w:p w14:paraId="53F893DF">
      <w:pPr>
        <w:spacing w:line="360" w:lineRule="auto"/>
        <w:ind w:firstLine="480" w:firstLineChars="200"/>
        <w:rPr>
          <w:rFonts w:ascii="宋体" w:hAnsi="宋体" w:eastAsia="宋体"/>
          <w:sz w:val="24"/>
          <w:szCs w:val="24"/>
        </w:rPr>
      </w:pPr>
      <w:r>
        <w:rPr>
          <w:rFonts w:ascii="宋体" w:hAnsi="宋体" w:eastAsia="宋体"/>
          <w:sz w:val="24"/>
          <w:szCs w:val="24"/>
        </w:rPr>
        <w:t>在执法监督方面，</w:t>
      </w:r>
      <w:r>
        <w:rPr>
          <w:rFonts w:hint="eastAsia" w:ascii="宋体" w:hAnsi="宋体" w:eastAsia="宋体"/>
          <w:sz w:val="24"/>
          <w:szCs w:val="24"/>
        </w:rPr>
        <w:t>加强</w:t>
      </w:r>
      <w:r>
        <w:rPr>
          <w:rFonts w:ascii="宋体" w:hAnsi="宋体" w:eastAsia="宋体"/>
          <w:sz w:val="24"/>
          <w:szCs w:val="24"/>
        </w:rPr>
        <w:t>草原执法显得尤为重要。</w:t>
      </w:r>
      <w:r>
        <w:rPr>
          <w:rFonts w:hint="eastAsia" w:ascii="宋体" w:hAnsi="宋体" w:eastAsia="宋体"/>
          <w:sz w:val="24"/>
          <w:szCs w:val="24"/>
        </w:rPr>
        <w:t>昌都市应依据国际、自治区出台的各项针对草原管理的政策，</w:t>
      </w:r>
      <w:r>
        <w:rPr>
          <w:rFonts w:ascii="宋体" w:hAnsi="宋体" w:eastAsia="宋体"/>
          <w:sz w:val="24"/>
          <w:szCs w:val="24"/>
        </w:rPr>
        <w:t>建立健全监督管理体系，确保各项法律法规的严格执行。</w:t>
      </w:r>
      <w:r>
        <w:rPr>
          <w:rFonts w:hint="eastAsia" w:ascii="宋体" w:hAnsi="宋体" w:eastAsia="宋体"/>
          <w:sz w:val="24"/>
          <w:szCs w:val="24"/>
        </w:rPr>
        <w:t>并加强草原执法人员培训，提升执法监管能力。</w:t>
      </w:r>
      <w:r>
        <w:rPr>
          <w:rFonts w:ascii="宋体" w:hAnsi="宋体" w:eastAsia="宋体"/>
          <w:sz w:val="24"/>
          <w:szCs w:val="24"/>
        </w:rPr>
        <w:t>通过巡查与评估，及时发现并纠正问题，维护草原资源的安全与稳定，确保保护措施落到实处。</w:t>
      </w:r>
    </w:p>
    <w:p w14:paraId="206749FD">
      <w:pPr>
        <w:spacing w:line="360" w:lineRule="auto"/>
        <w:ind w:firstLine="482" w:firstLineChars="200"/>
        <w:rPr>
          <w:rFonts w:ascii="宋体" w:hAnsi="宋体" w:eastAsia="宋体"/>
          <w:b/>
          <w:bCs/>
          <w:sz w:val="24"/>
          <w:szCs w:val="24"/>
        </w:rPr>
      </w:pPr>
      <w:r>
        <w:rPr>
          <w:rFonts w:hint="eastAsia" w:ascii="宋体" w:hAnsi="宋体" w:eastAsia="宋体"/>
          <w:b/>
          <w:bCs/>
          <w:sz w:val="24"/>
          <w:szCs w:val="24"/>
        </w:rPr>
        <w:t>加强基层队伍建设，扩充技术人员队伍</w:t>
      </w:r>
    </w:p>
    <w:p w14:paraId="3758812D">
      <w:pPr>
        <w:spacing w:line="360" w:lineRule="auto"/>
        <w:ind w:firstLine="480" w:firstLineChars="200"/>
        <w:rPr>
          <w:rFonts w:ascii="宋体" w:hAnsi="宋体" w:eastAsia="宋体"/>
          <w:sz w:val="24"/>
          <w:szCs w:val="24"/>
        </w:rPr>
      </w:pPr>
      <w:r>
        <w:rPr>
          <w:rFonts w:hint="eastAsia" w:ascii="宋体" w:hAnsi="宋体" w:eastAsia="宋体"/>
          <w:sz w:val="24"/>
          <w:szCs w:val="24"/>
        </w:rPr>
        <w:t>应加强基层草原管理和技术推广队伍建设，充实专业人员力量，提高执法手段，提升监督管理和公共服务能力。加强草原管护员队伍建设和管理，严格聘用程序，系统推进评价机制改革，强化工作考核和监督管理，不断提升履职尽责能力，充分发挥生态护林（草）员巡查管护的作用。</w:t>
      </w:r>
    </w:p>
    <w:p w14:paraId="2A9764A7">
      <w:pPr>
        <w:spacing w:line="360" w:lineRule="auto"/>
        <w:ind w:firstLine="480" w:firstLineChars="200"/>
        <w:rPr>
          <w:rFonts w:ascii="宋体" w:hAnsi="宋体" w:eastAsia="宋体"/>
          <w:sz w:val="24"/>
          <w:szCs w:val="24"/>
        </w:rPr>
      </w:pPr>
      <w:r>
        <w:rPr>
          <w:rFonts w:hint="eastAsia" w:ascii="宋体" w:hAnsi="宋体" w:eastAsia="宋体"/>
          <w:sz w:val="24"/>
          <w:szCs w:val="24"/>
        </w:rPr>
        <w:t>强化激励保障以稳定队伍，健全收入分配制度，</w:t>
      </w:r>
      <w:r>
        <w:rPr>
          <w:rFonts w:hint="eastAsia" w:ascii="MS Gothic" w:hAnsi="MS Gothic" w:eastAsia="MS Gothic" w:cs="MS Gothic"/>
          <w:sz w:val="24"/>
          <w:szCs w:val="24"/>
        </w:rPr>
        <w:t>‌</w:t>
      </w:r>
      <w:r>
        <w:rPr>
          <w:rFonts w:hint="eastAsia" w:ascii="宋体" w:hAnsi="宋体" w:eastAsia="宋体" w:cs="宋体"/>
          <w:sz w:val="24"/>
          <w:szCs w:val="24"/>
        </w:rPr>
        <w:t>优化基层林草场（站、所）人员配置。支持加强从业人员定期培训和进修。</w:t>
      </w:r>
    </w:p>
    <w:p w14:paraId="0FF9ECF2">
      <w:pPr>
        <w:spacing w:line="360" w:lineRule="auto"/>
        <w:ind w:firstLine="480" w:firstLineChars="200"/>
        <w:rPr>
          <w:sz w:val="24"/>
          <w:szCs w:val="24"/>
        </w:rPr>
      </w:pPr>
      <w:r>
        <w:rPr>
          <w:rFonts w:hint="eastAsia" w:ascii="宋体" w:hAnsi="宋体" w:eastAsia="宋体"/>
          <w:sz w:val="24"/>
          <w:szCs w:val="24"/>
        </w:rPr>
        <w:t>支持社会化服务组织发展，充分发挥各类社会组织在政策咨询、信息服务、科技推广、行业自律等方面的作用。</w:t>
      </w:r>
    </w:p>
    <w:p w14:paraId="0F9FA92A">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5" w:name="_Toc1682"/>
      <w:r>
        <w:rPr>
          <w:rStyle w:val="28"/>
          <w:rFonts w:hint="default" w:ascii="Times New Roman" w:hAnsi="Times New Roman"/>
          <w:color w:val="auto"/>
          <w:kern w:val="2"/>
          <w:sz w:val="32"/>
          <w:szCs w:val="32"/>
          <w:u w:val="none"/>
        </w:rPr>
        <w:t>资金保障</w:t>
      </w:r>
      <w:bookmarkEnd w:id="135"/>
    </w:p>
    <w:p w14:paraId="67EC1C05">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拓宽投资来源，推动资金多元化</w:t>
      </w:r>
    </w:p>
    <w:p w14:paraId="2ED7750F">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应切实履行主体责任，积极筹措资金，引导和带动社会资本参与，充分发挥各项政策措施的合力，加大对草原保护和修复支撑体系建设的投入力度。统筹利用多层级、多领域资金，集中开展重点项目建设，充分发挥项目多重效益，提高资金使用效率。大力发展绿色金融，发挥金融在资源配置中的激励作用，引导社会资本以市场化方式投向生态保护和修复支撑体系建设领域。积极落实鼓励社会资本参与生态保护和修复的相关政策，探索通过政府购买服务等方式，吸引社会资本参与重点项目建设，推动建设资金渠道多元化。</w:t>
      </w:r>
    </w:p>
    <w:p w14:paraId="10075278">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加大资金投入，健全保障机制</w:t>
      </w:r>
    </w:p>
    <w:p w14:paraId="587F1A1D">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资金投入的加大是保障措施中不可或缺的一部分。需要建立健全草原保护与修复的资金保障机制，积极争取国家和地方的专项资金，并吸引社会资本参与，以确保项目的可持续发展。通过合理规划资金使用，确保资源得到有效配置和高效利用，以支持草原保护与修复的各项工作。</w:t>
      </w:r>
    </w:p>
    <w:p w14:paraId="501CD277">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强化资金监管，发挥资金使用效益</w:t>
      </w:r>
    </w:p>
    <w:p w14:paraId="44CFCD99">
      <w:pPr>
        <w:spacing w:line="360" w:lineRule="auto"/>
        <w:ind w:firstLine="480" w:firstLineChars="200"/>
        <w:rPr>
          <w:sz w:val="24"/>
          <w:szCs w:val="24"/>
        </w:rPr>
      </w:pPr>
      <w:r>
        <w:rPr>
          <w:rFonts w:hint="eastAsia" w:ascii="Times New Roman" w:hAnsi="Times New Roman" w:eastAsia="宋体" w:cs="Times New Roman"/>
          <w:sz w:val="24"/>
          <w:szCs w:val="24"/>
        </w:rPr>
        <w:t>强化资金监管，发挥资金使用效益。各项目实施部门须严格执行各项资金管理规定，专账核算，切实加强资金监管，确保资金专款专用，对违反法律、法规、规章等相关规定的单位或个人，依法依规追究责任人相应责任。按照“谁主管，谁使用，谁负责”的原则，各部门各单位作为预算绩效管理的责任主体，要认真履行部门绩效管理主体责任，对重大项目的责任人实行绩效终身责任追究制，切实做到花钱必问效、无效必问责。</w:t>
      </w:r>
    </w:p>
    <w:p w14:paraId="6BFF3F93">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6" w:name="_Toc22733"/>
      <w:r>
        <w:rPr>
          <w:rStyle w:val="28"/>
          <w:rFonts w:hint="default" w:ascii="Times New Roman" w:hAnsi="Times New Roman"/>
          <w:color w:val="auto"/>
          <w:kern w:val="2"/>
          <w:sz w:val="32"/>
          <w:szCs w:val="32"/>
          <w:u w:val="none"/>
        </w:rPr>
        <w:t>科技保障</w:t>
      </w:r>
      <w:bookmarkEnd w:id="136"/>
    </w:p>
    <w:p w14:paraId="61628F0D">
      <w:pPr>
        <w:ind w:firstLine="482" w:firstLineChars="200"/>
        <w:rPr>
          <w:rFonts w:ascii="Times New Roman" w:hAnsi="Times New Roman" w:eastAsia="宋体" w:cs="Times New Roman"/>
          <w:b/>
          <w:bCs/>
          <w:sz w:val="24"/>
          <w:szCs w:val="24"/>
        </w:rPr>
      </w:pPr>
      <w:r>
        <w:rPr>
          <w:rFonts w:ascii="Times New Roman" w:hAnsi="Times New Roman" w:eastAsia="宋体" w:cs="Times New Roman"/>
          <w:b/>
          <w:bCs/>
          <w:sz w:val="24"/>
          <w:szCs w:val="24"/>
        </w:rPr>
        <w:t>完善人才培养，突出科技支撑</w:t>
      </w:r>
    </w:p>
    <w:p w14:paraId="1D5F7DD4">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在人才培养方面，应完善相关的教育与培训体系，培养一批具有专业知识和实践能力的草原管理人才。加大草业科学、生物科技、工程类专业人才引进力度。充实草原管理、调查监测、技术推广和执法监督力量，加强培训，提高专业技术水平，提升执法监督能力。高度重视提高农牧民草原保护的思想意识，培育有文化、懂技术、会经营的新型农牧民，充分发挥农牧民在草原保护中的主体作用。突出科技支撑，鼓励高校和科研机构开展草原生态与保护的研究，为草原保护与修复提供科学依据和技术支持，提升管理水平和技术能力。</w:t>
      </w:r>
    </w:p>
    <w:p w14:paraId="4D4966DD">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7" w:name="_Toc1495"/>
      <w:r>
        <w:rPr>
          <w:rStyle w:val="28"/>
          <w:rFonts w:hint="default" w:ascii="Times New Roman" w:hAnsi="Times New Roman"/>
          <w:color w:val="auto"/>
          <w:kern w:val="2"/>
          <w:sz w:val="32"/>
          <w:szCs w:val="32"/>
          <w:u w:val="none"/>
        </w:rPr>
        <w:t>考核监督</w:t>
      </w:r>
      <w:bookmarkEnd w:id="137"/>
    </w:p>
    <w:p w14:paraId="4DC3B456">
      <w:pPr>
        <w:spacing w:line="360" w:lineRule="auto"/>
        <w:ind w:firstLine="480" w:firstLineChars="200"/>
        <w:rPr>
          <w:sz w:val="24"/>
          <w:szCs w:val="24"/>
        </w:rPr>
      </w:pPr>
      <w:r>
        <w:rPr>
          <w:rFonts w:ascii="Times New Roman" w:hAnsi="Times New Roman" w:eastAsia="宋体" w:cs="Times New Roman"/>
          <w:sz w:val="24"/>
          <w:szCs w:val="24"/>
        </w:rPr>
        <w:t>建立</w:t>
      </w:r>
      <w:r>
        <w:rPr>
          <w:rFonts w:hint="eastAsia" w:ascii="Times New Roman" w:hAnsi="Times New Roman" w:eastAsia="宋体" w:cs="Times New Roman"/>
          <w:sz w:val="24"/>
          <w:szCs w:val="24"/>
        </w:rPr>
        <w:t>规划</w:t>
      </w:r>
      <w:r>
        <w:rPr>
          <w:rFonts w:ascii="Times New Roman" w:hAnsi="Times New Roman" w:eastAsia="宋体" w:cs="Times New Roman"/>
          <w:sz w:val="24"/>
          <w:szCs w:val="24"/>
        </w:rPr>
        <w:t>建设实施情况年度调度机制，细化考核评估与动态修订机制。加强对规划执行情况的督促和检查，加强</w:t>
      </w:r>
      <w:r>
        <w:rPr>
          <w:rFonts w:hint="eastAsia" w:ascii="Times New Roman" w:hAnsi="Times New Roman" w:eastAsia="宋体" w:cs="Times New Roman"/>
          <w:sz w:val="24"/>
          <w:szCs w:val="24"/>
        </w:rPr>
        <w:t>草原质量</w:t>
      </w:r>
      <w:r>
        <w:rPr>
          <w:rFonts w:ascii="Times New Roman" w:hAnsi="Times New Roman" w:eastAsia="宋体" w:cs="Times New Roman"/>
          <w:sz w:val="24"/>
          <w:szCs w:val="24"/>
        </w:rPr>
        <w:t>监测。构建以</w:t>
      </w:r>
      <w:r>
        <w:rPr>
          <w:rFonts w:hint="eastAsia" w:ascii="Times New Roman" w:hAnsi="Times New Roman" w:eastAsia="宋体" w:cs="Times New Roman"/>
          <w:sz w:val="24"/>
          <w:szCs w:val="24"/>
        </w:rPr>
        <w:t>草原</w:t>
      </w:r>
      <w:r>
        <w:rPr>
          <w:rFonts w:ascii="Times New Roman" w:hAnsi="Times New Roman" w:eastAsia="宋体" w:cs="Times New Roman"/>
          <w:sz w:val="24"/>
          <w:szCs w:val="24"/>
        </w:rPr>
        <w:t>环境</w:t>
      </w:r>
      <w:r>
        <w:rPr>
          <w:rFonts w:hint="eastAsia" w:ascii="Times New Roman" w:hAnsi="Times New Roman" w:eastAsia="宋体" w:cs="Times New Roman"/>
          <w:sz w:val="24"/>
          <w:szCs w:val="24"/>
        </w:rPr>
        <w:t>质量持续改善和草业良性发展为核心的目标责任考核体系，市人民政府依据年度工作计划与各县（区）人民政府、各乡镇各有关部门签订目标责任书，分解落实目标任务，实行规划目标责任制。</w:t>
      </w:r>
    </w:p>
    <w:p w14:paraId="00B4330A">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38" w:name="_Toc8891"/>
      <w:r>
        <w:rPr>
          <w:rStyle w:val="28"/>
          <w:rFonts w:hint="default" w:ascii="Times New Roman" w:hAnsi="Times New Roman"/>
          <w:color w:val="auto"/>
          <w:kern w:val="2"/>
          <w:sz w:val="32"/>
          <w:szCs w:val="32"/>
          <w:u w:val="none"/>
        </w:rPr>
        <w:t>宣传保障</w:t>
      </w:r>
      <w:bookmarkEnd w:id="138"/>
    </w:p>
    <w:p w14:paraId="3203C0D6">
      <w:pPr>
        <w:spacing w:line="360" w:lineRule="auto"/>
        <w:ind w:firstLine="482" w:firstLineChars="200"/>
        <w:contextualSpacing/>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广泛宣传动员，提高保护意识</w:t>
      </w:r>
    </w:p>
    <w:p w14:paraId="3FBB70F6">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深入学习习近平生态文明思想，加强自然生态系统国情宣传和生态保护法治教育，将自然保护区、草原自然公园、湿地公园、科研基地等作为普及生态保护知识的重要阵地，依托草原日、湿地日、世界野生动植物日、世界环境日等节日，开展形式多样的生态主题宣传，提高公众尊重自然、顺应自然、保护自然的自觉主动意识，增强群众主体意识的培养。通过广泛宣传动员，提高社会公众对草原保护的重要性和紧迫性的认识，增强草原保护意识，鼓励民众参与到草原保护的行动中来。形成全社会共同关注和参与草原保护的良好氛围，有助于推动草原保护工作的深入开展。</w:t>
      </w:r>
    </w:p>
    <w:p w14:paraId="771AC6F2">
      <w:pPr>
        <w:spacing w:line="360" w:lineRule="auto"/>
        <w:ind w:firstLine="482" w:firstLineChars="20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注重舆论引导，营造社会风气</w:t>
      </w:r>
    </w:p>
    <w:p w14:paraId="400B9FE8">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充分发挥传统媒体和新媒体作用，大力学习宣传习近平生态文明思想，加强自然生态系统国情宣传和生态保护法治教育。将昌都市森林公园、风景区、自然保护区、野外生态定位站、科研示范基地、基层林业（草原）工作站、基层管护站点等作为重要阵地，以各种节日、活动为重要载体，向公众普及生态知识，定期向公众开放多层次、多结构的天空地一体化监测成效。发展科普志愿者队伍，开展形式多样的森林草原火灾预防、应急处置、有害生物防治、疫源疫病防控等科普教育，提高公众支持生态保护和修复支撑体系建设、爱护相关设施设备的自觉意识。提高重大工程建设成效的社会认可度，积极营造全社会爱草原、护草原的良好风气。</w:t>
      </w:r>
    </w:p>
    <w:p w14:paraId="606D9888">
      <w:pPr>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6EFCFD7B">
      <w:pPr>
        <w:pStyle w:val="2"/>
        <w:numPr>
          <w:ilvl w:val="0"/>
          <w:numId w:val="2"/>
        </w:numPr>
        <w:spacing w:before="156" w:after="156" w:line="360" w:lineRule="auto"/>
        <w:rPr>
          <w:rFonts w:eastAsia="宋体"/>
          <w:bCs/>
          <w:snapToGrid/>
          <w:kern w:val="44"/>
          <w:szCs w:val="44"/>
        </w:rPr>
      </w:pPr>
      <w:bookmarkStart w:id="139" w:name="_Toc29306"/>
      <w:r>
        <w:rPr>
          <w:rFonts w:hint="eastAsia" w:eastAsia="宋体"/>
          <w:bCs/>
          <w:snapToGrid/>
          <w:kern w:val="44"/>
          <w:szCs w:val="44"/>
        </w:rPr>
        <w:t>效益</w:t>
      </w:r>
      <w:r>
        <w:rPr>
          <w:rFonts w:eastAsia="宋体"/>
          <w:bCs/>
          <w:snapToGrid/>
          <w:kern w:val="44"/>
          <w:szCs w:val="44"/>
        </w:rPr>
        <w:t>分析</w:t>
      </w:r>
      <w:bookmarkEnd w:id="139"/>
    </w:p>
    <w:p w14:paraId="5BA5177B">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编制和实施对整治昌都市的生态环境具有十分重要的战略意义。昌都市草原生态系统在国土空间中发挥着无以替代的生态防护功能，是一笔巨大的生态财富和社会财富，通过编制草原生态保护修复与草业发展规划，以规划为依据，对全市草原进行科学保护、有效修复和管理，可提高草原生态系统的健康和稳定性，促进草原可持续发展，为当地带来多种生态效益、社会效益和经济效益。</w:t>
      </w:r>
    </w:p>
    <w:p w14:paraId="1AC54513">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40" w:name="_Toc6318"/>
      <w:r>
        <w:rPr>
          <w:rStyle w:val="28"/>
          <w:rFonts w:hint="default" w:ascii="Times New Roman"/>
          <w:color w:val="auto"/>
          <w:kern w:val="2"/>
          <w:sz w:val="32"/>
          <w:szCs w:val="32"/>
          <w:u w:val="none"/>
        </w:rPr>
        <w:t>生态效益</w:t>
      </w:r>
      <w:bookmarkEnd w:id="140"/>
    </w:p>
    <w:p w14:paraId="616EB51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通过实施保护、修复和治理等措施，昌都市的草原生态环境将得到保护和恢复，产生巨大的生态效益，具体包括在以下方面：</w:t>
      </w:r>
    </w:p>
    <w:p w14:paraId="287ADAB2">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（一）草原植被得到保护、恢复和发展，草原退化将得到有效遏止，草原生态效益得到充分发挥</w:t>
      </w:r>
    </w:p>
    <w:p w14:paraId="756B68A1">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作为“地球的皮肤”，是我们人类第二大绿色屏障，资源丰富非常，不仅是巨大的基因库和蓄水库，也是实现环境与发展相统一的关键纽带。通过退化草原修复治理、“黑土型”退化草地生态修复等不同区域修复与治理模式的实施，将使昌都市草原环境质量得到显著提高，生态效益得到充分发挥。草原生态效益可概括为：</w:t>
      </w:r>
    </w:p>
    <w:p w14:paraId="5A5211B8">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（1）防风固沙、保持水土</w:t>
      </w:r>
    </w:p>
    <w:p w14:paraId="0935C4A5">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规划的实施，将使</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草原植被涵养水源、保持水土的机能得到保护和提高。草原生态系统具有防风固沙，保持水土的生态功能。草原上的许多植物根系较发达，根冠较大，根部一般是地上的几倍乃至几十倍，它能深深的植入土壤中，牢牢地将土壤固定。研究表明，土地在植被稀疏，地表径流的冲刷下，会出现风水蚀，这不仅能带走土壤中的有机质和各类营养物质，而且对生态平衡破坏也极大。据资料表明，草地比裸地的含水量高20%以上，在大雨状态下草原可减少地表径流量47%～60%，减少泥土冲刷量75%～78%，它的防风固沙能力比森林高3～4倍。据测定，在总雨量为346mm 的情况下，降雨冲刷所流失的土壤量为：林地60千克/公顷，草地93千克/公顷，农用地3570千克/公顷。</w:t>
      </w:r>
      <w:r>
        <w:rPr>
          <w:rFonts w:hint="eastAsia" w:ascii="Times New Roman" w:hAnsi="Times New Roman" w:eastAsia="宋体" w:cs="Times New Roman"/>
          <w:sz w:val="24"/>
          <w:szCs w:val="24"/>
        </w:rPr>
        <w:t>根据规划的实施项目和规划目标，</w:t>
      </w:r>
      <w:r>
        <w:rPr>
          <w:rFonts w:ascii="Times New Roman" w:hAnsi="Times New Roman" w:eastAsia="宋体" w:cs="Times New Roman"/>
          <w:sz w:val="24"/>
          <w:szCs w:val="24"/>
        </w:rPr>
        <w:t>规划实施</w:t>
      </w:r>
      <w:r>
        <w:rPr>
          <w:rFonts w:hint="eastAsia" w:ascii="Times New Roman" w:hAnsi="Times New Roman" w:eastAsia="宋体" w:cs="Times New Roman"/>
          <w:sz w:val="24"/>
          <w:szCs w:val="24"/>
        </w:rPr>
        <w:t>后</w:t>
      </w:r>
      <w:r>
        <w:rPr>
          <w:rFonts w:ascii="Times New Roman" w:hAnsi="Times New Roman" w:eastAsia="宋体" w:cs="Times New Roman"/>
          <w:sz w:val="24"/>
          <w:szCs w:val="24"/>
        </w:rPr>
        <w:t>将有效地遏制</w:t>
      </w:r>
      <w:r>
        <w:rPr>
          <w:rFonts w:hint="eastAsia" w:ascii="Times New Roman" w:hAnsi="Times New Roman" w:eastAsia="宋体" w:cs="Times New Roman"/>
          <w:sz w:val="24"/>
          <w:szCs w:val="24"/>
        </w:rPr>
        <w:t>全市</w:t>
      </w:r>
      <w:r>
        <w:rPr>
          <w:rFonts w:ascii="Times New Roman" w:hAnsi="Times New Roman" w:eastAsia="宋体" w:cs="Times New Roman"/>
          <w:sz w:val="24"/>
          <w:szCs w:val="24"/>
        </w:rPr>
        <w:t>草原退化的趋势，</w:t>
      </w:r>
      <w:r>
        <w:rPr>
          <w:rFonts w:hint="eastAsia" w:ascii="Times New Roman" w:hAnsi="Times New Roman" w:eastAsia="宋体" w:cs="Times New Roman"/>
          <w:sz w:val="24"/>
          <w:szCs w:val="24"/>
        </w:rPr>
        <w:t>预计规划实施近期可减少水土流失量3.49万t，将极大的减少全市的水土流失量，</w:t>
      </w:r>
      <w:r>
        <w:rPr>
          <w:rFonts w:ascii="Times New Roman" w:hAnsi="Times New Roman" w:eastAsia="宋体" w:cs="Times New Roman"/>
          <w:sz w:val="24"/>
          <w:szCs w:val="24"/>
        </w:rPr>
        <w:t>对全</w:t>
      </w:r>
      <w:r>
        <w:rPr>
          <w:rFonts w:hint="eastAsia" w:ascii="Times New Roman" w:hAnsi="Times New Roman" w:eastAsia="宋体" w:cs="Times New Roman"/>
          <w:sz w:val="24"/>
          <w:szCs w:val="24"/>
        </w:rPr>
        <w:t>市</w:t>
      </w:r>
      <w:r>
        <w:rPr>
          <w:rFonts w:ascii="Times New Roman" w:hAnsi="Times New Roman" w:eastAsia="宋体" w:cs="Times New Roman"/>
          <w:sz w:val="24"/>
          <w:szCs w:val="24"/>
        </w:rPr>
        <w:t>生态环境安全将发挥重要的生态防护作用。</w:t>
      </w:r>
    </w:p>
    <w:p w14:paraId="790B76B4">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（2）调节气候，涵养水源</w:t>
      </w:r>
    </w:p>
    <w:p w14:paraId="2594AF8A">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系统可以调节气候，在水草丰美地区的周围，环境湿度较大，在植被茂密的草原上空，很易形成降雨，改善环境，调节气候。草原还有“保温”的作用，当温度高时，可吸收较多的热量，使草地及环境温度不致过高；当温度较低时，草地能释放较多热量，使草地及其环境的温度不致过低。据研究，夏季草地温度比裸地低3～5℃，而冬季则高6℃左右。除此之外，草原生态系统还具有较高的透水性和保水能力，这可减少地表径流量，增加贮水量。在同等气候条件下，草原土壤的含水量较裸地大约高出90%，涵养水源能力也比森林高0.5～3倍左右。</w:t>
      </w:r>
      <w:r>
        <w:rPr>
          <w:rFonts w:hint="eastAsia" w:ascii="Times New Roman" w:hAnsi="Times New Roman" w:eastAsia="宋体" w:cs="Times New Roman"/>
          <w:sz w:val="24"/>
          <w:szCs w:val="24"/>
        </w:rPr>
        <w:t>根据规划项目，本规划实施近期预计可减少地表径流量4.83万t，</w:t>
      </w:r>
      <w:r>
        <w:rPr>
          <w:rFonts w:ascii="Times New Roman" w:hAnsi="Times New Roman" w:eastAsia="宋体" w:cs="Times New Roman"/>
          <w:sz w:val="24"/>
          <w:szCs w:val="24"/>
        </w:rPr>
        <w:t>植被盖度提高，可有效调节区域小环境气候，涵养区域水源。</w:t>
      </w:r>
    </w:p>
    <w:p w14:paraId="6BE649D1">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（3）</w:t>
      </w:r>
      <w:r>
        <w:rPr>
          <w:rFonts w:hint="eastAsia" w:ascii="Times New Roman" w:hAnsi="Times New Roman" w:eastAsia="宋体" w:cs="Times New Roman"/>
          <w:sz w:val="24"/>
          <w:szCs w:val="24"/>
        </w:rPr>
        <w:t>固碳释氧</w:t>
      </w:r>
      <w:r>
        <w:rPr>
          <w:rFonts w:ascii="Times New Roman" w:hAnsi="Times New Roman" w:eastAsia="宋体" w:cs="Times New Roman"/>
          <w:sz w:val="24"/>
          <w:szCs w:val="24"/>
        </w:rPr>
        <w:t>，</w:t>
      </w:r>
      <w:r>
        <w:rPr>
          <w:rFonts w:hint="eastAsia" w:ascii="Times New Roman" w:hAnsi="Times New Roman" w:eastAsia="宋体" w:cs="Times New Roman"/>
          <w:sz w:val="24"/>
          <w:szCs w:val="24"/>
        </w:rPr>
        <w:t>防风固沙</w:t>
      </w:r>
    </w:p>
    <w:p w14:paraId="62F680B0">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生态系统可以改善环境，在生命代谢过程中吸收二氧化碳，释放氧气，为人类的生命活动提供必不可少的氧气，同时草原生态系统还可以吸收其他许多有害气体，如二氧化硫、二氧化氮、氟化氢等，起到改善环境，净化空气的作用。当然，草原生态系统除可以改善大气质量外，还可以去除空气中的污染物，如吸附粉尘，消除噪音，能给人们提供一个舒适、安静的生活环境。可见，草原生态系统具有较好地净化环境、供给氧气的作用。</w:t>
      </w:r>
      <w:r>
        <w:rPr>
          <w:rFonts w:hint="eastAsia" w:ascii="Times New Roman" w:hAnsi="Times New Roman" w:eastAsia="宋体" w:cs="Times New Roman"/>
          <w:sz w:val="24"/>
          <w:szCs w:val="24"/>
        </w:rPr>
        <w:t>规划项目的实施，可以有效增加区域含氧量，净化空气，减少粉尘，促进昌都市环境空气质量提升。</w:t>
      </w:r>
    </w:p>
    <w:p w14:paraId="224DFA3F">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草原植被可以降低风力和风蚀强度，减少或避免土壤破碎和吹蚀，起到防风固沙作用。 草原植被通过降尘、枯枝落叶、分泌物、地衣等非生物和生物过程的作用，地表逐渐形成结皮，促进成土过程。 </w:t>
      </w:r>
      <w:r>
        <w:rPr>
          <w:rFonts w:hint="eastAsia" w:ascii="Times New Roman" w:hAnsi="Times New Roman" w:eastAsia="宋体" w:cs="Times New Roman"/>
          <w:sz w:val="24"/>
          <w:szCs w:val="24"/>
        </w:rPr>
        <w:t>规划实施后</w:t>
      </w:r>
      <w:r>
        <w:rPr>
          <w:rFonts w:ascii="Times New Roman" w:hAnsi="Times New Roman" w:eastAsia="宋体" w:cs="Times New Roman"/>
          <w:sz w:val="24"/>
          <w:szCs w:val="24"/>
        </w:rPr>
        <w:t>，</w:t>
      </w:r>
      <w:r>
        <w:rPr>
          <w:rFonts w:hint="eastAsia" w:ascii="Times New Roman" w:hAnsi="Times New Roman" w:eastAsia="宋体" w:cs="Times New Roman"/>
          <w:sz w:val="24"/>
          <w:szCs w:val="24"/>
        </w:rPr>
        <w:t>草原退化治理项目的实施将减缓高寒山地荒漠化进程，减少风蚀强度，降低区域风力，改善局地小气候。</w:t>
      </w:r>
    </w:p>
    <w:p w14:paraId="504D8F8C">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（4）改良土壤，培肥地力</w:t>
      </w:r>
    </w:p>
    <w:p w14:paraId="72E2BB3E">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原植被在土壤表层可形成大量的有机物质，这些有机质可改善土壤的理化性状，形成土壤团粒结构。在盐碱地种草，能改善这些土地的盐渍化程度，达到改良土壤的目的。在草原植被中，豆科牧草如苜蓿等具有根瘤菌，能使空气中的游离氮素固定，使植物吸收利用，培肥地力。据测定，一公顷苜蓿3 年可固氮210～270kg，相当于硝铵化肥的675～825kg，可见草原修复可有效改良区域土壤，培肥地力，从而有效地改善周边地区的生态环境，提高</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土地的人口承载力。</w:t>
      </w:r>
    </w:p>
    <w:p w14:paraId="4022FBDC">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（二）保护和恢复生物多样性，构建完善的生态保护网络体系</w:t>
      </w:r>
    </w:p>
    <w:p w14:paraId="0F74F05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地处高海拔区域，生态环境变得十分脆弱，草原退化给当地人民带来大自然破坏后的回报</w:t>
      </w:r>
      <w:r>
        <w:rPr>
          <w:rFonts w:hint="eastAsia" w:ascii="Times New Roman" w:hAnsi="Times New Roman" w:eastAsia="宋体" w:cs="Times New Roman"/>
          <w:sz w:val="24"/>
          <w:szCs w:val="24"/>
        </w:rPr>
        <w:t>—</w:t>
      </w:r>
      <w:r>
        <w:rPr>
          <w:rFonts w:ascii="Times New Roman" w:hAnsi="Times New Roman" w:eastAsia="宋体" w:cs="Times New Roman"/>
          <w:sz w:val="24"/>
          <w:szCs w:val="24"/>
        </w:rPr>
        <w:t>生态失调、经济滞后。过高的资源环境负荷使这一区域的生物多样性受到严重威胁。通过草原保护修复，在提高</w:t>
      </w:r>
      <w:r>
        <w:rPr>
          <w:rFonts w:hint="eastAsia" w:ascii="Times New Roman" w:hAnsi="Times New Roman" w:eastAsia="宋体" w:cs="Times New Roman"/>
          <w:sz w:val="24"/>
          <w:szCs w:val="24"/>
        </w:rPr>
        <w:t>全市</w:t>
      </w:r>
      <w:r>
        <w:rPr>
          <w:rFonts w:ascii="Times New Roman" w:hAnsi="Times New Roman" w:eastAsia="宋体" w:cs="Times New Roman"/>
          <w:sz w:val="24"/>
          <w:szCs w:val="24"/>
        </w:rPr>
        <w:t>草原植被盖度的同时，改善了自然生态环境，也保护了野生动植物的栖息地，为其种群数量的扩大提供了条件，尤其是珍稀濒危物种的种群数量将得到恢复和发展。因此，规划的编制和实施，将有效促进</w:t>
      </w:r>
      <w:r>
        <w:rPr>
          <w:rFonts w:hint="eastAsia" w:ascii="Times New Roman" w:hAnsi="Times New Roman" w:eastAsia="宋体" w:cs="Times New Roman"/>
          <w:sz w:val="24"/>
          <w:szCs w:val="24"/>
        </w:rPr>
        <w:t>昌都市</w:t>
      </w:r>
      <w:r>
        <w:rPr>
          <w:rFonts w:ascii="Times New Roman" w:hAnsi="Times New Roman" w:eastAsia="宋体" w:cs="Times New Roman"/>
          <w:sz w:val="24"/>
          <w:szCs w:val="24"/>
        </w:rPr>
        <w:t>生物多样性的保护、恢复和发展。</w:t>
      </w:r>
    </w:p>
    <w:p w14:paraId="6B95FFE7">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（三）有效保持和提高生态系统服务功能</w:t>
      </w:r>
    </w:p>
    <w:p w14:paraId="3314D483">
      <w:pPr>
        <w:spacing w:line="360" w:lineRule="auto"/>
        <w:ind w:firstLine="480" w:firstLineChars="200"/>
        <w:contextualSpacing/>
        <w:rPr>
          <w:rFonts w:ascii="Times New Roman" w:hAnsi="Times New Roman" w:eastAsia="宋体" w:cs="Times New Roman"/>
          <w:sz w:val="24"/>
          <w:szCs w:val="24"/>
        </w:rPr>
      </w:pPr>
      <w:r>
        <w:rPr>
          <w:rFonts w:ascii="Times New Roman" w:hAnsi="Times New Roman" w:eastAsia="宋体" w:cs="Times New Roman"/>
          <w:sz w:val="24"/>
          <w:szCs w:val="24"/>
        </w:rPr>
        <w:t>草地生态系统是国家生态安全战略格局的重要空间载体,尤其对于青藏高原生态屏障区</w:t>
      </w:r>
      <w:r>
        <w:rPr>
          <w:rFonts w:hint="eastAsia" w:ascii="Times New Roman" w:hAnsi="Times New Roman" w:eastAsia="宋体" w:cs="Times New Roman"/>
          <w:sz w:val="24"/>
          <w:szCs w:val="24"/>
        </w:rPr>
        <w:t>，草地</w:t>
      </w:r>
      <w:r>
        <w:rPr>
          <w:rFonts w:ascii="Times New Roman" w:hAnsi="Times New Roman" w:eastAsia="宋体" w:cs="Times New Roman"/>
          <w:sz w:val="24"/>
          <w:szCs w:val="24"/>
        </w:rPr>
        <w:t>生态系统是地球生命系统的生物物种基因库(种库),又是绿色有机碳库(碳库)和清洁淡水资源库(水库),健康状况良好的生态系统便可丰产牧草、蛋白、脂肪、药材等,是为人类提供生活资料和食物资源的宝库(粮库),通过对种库、碳库、水库、粮库的综合经营和管理,发展新型生态经济,就会促进人们生活和社会经济发展(钱库)</w:t>
      </w:r>
      <w:r>
        <w:rPr>
          <w:rFonts w:hint="eastAsia" w:ascii="Times New Roman" w:hAnsi="Times New Roman" w:eastAsia="宋体" w:cs="Times New Roman"/>
          <w:sz w:val="24"/>
          <w:szCs w:val="24"/>
        </w:rPr>
        <w:t>。规划的编制和实施，有利于昌都市草地生态系统的保护和合理利用，可以有效统筹昌都市草地生态系统“五库”功能，有效</w:t>
      </w:r>
      <w:r>
        <w:rPr>
          <w:rFonts w:ascii="Times New Roman" w:hAnsi="Times New Roman" w:eastAsia="宋体" w:cs="Times New Roman"/>
          <w:sz w:val="24"/>
          <w:szCs w:val="24"/>
        </w:rPr>
        <w:t>推进生态安全保护与经济社会发展</w:t>
      </w:r>
      <w:r>
        <w:rPr>
          <w:rFonts w:hint="eastAsia" w:ascii="Times New Roman" w:hAnsi="Times New Roman" w:eastAsia="宋体" w:cs="Times New Roman"/>
          <w:sz w:val="24"/>
          <w:szCs w:val="24"/>
        </w:rPr>
        <w:t>和谐共赢，更为有效的经营草地生态系统资源，</w:t>
      </w:r>
      <w:r>
        <w:rPr>
          <w:rFonts w:ascii="Times New Roman" w:hAnsi="Times New Roman" w:eastAsia="宋体" w:cs="Times New Roman"/>
          <w:sz w:val="24"/>
          <w:szCs w:val="24"/>
        </w:rPr>
        <w:t>为草牧业提质增效、牧民增收、乡村振兴做出更多重要“绿色”贡献</w:t>
      </w:r>
      <w:r>
        <w:rPr>
          <w:rFonts w:hint="eastAsia" w:ascii="Times New Roman" w:hAnsi="Times New Roman" w:eastAsia="宋体" w:cs="Times New Roman"/>
          <w:sz w:val="24"/>
          <w:szCs w:val="24"/>
        </w:rPr>
        <w:t>，助力昌都市践行习近平“两山”理论实践，并更好的提高昌都市生态安全屏障功能。</w:t>
      </w:r>
    </w:p>
    <w:p w14:paraId="72155B62">
      <w:pPr>
        <w:pStyle w:val="3"/>
        <w:keepNext/>
        <w:keepLines/>
        <w:numPr>
          <w:ilvl w:val="1"/>
          <w:numId w:val="2"/>
        </w:numPr>
        <w:spacing w:before="120" w:beforeAutospacing="0" w:after="120" w:afterAutospacing="0" w:line="360" w:lineRule="auto"/>
        <w:jc w:val="both"/>
        <w:rPr>
          <w:rStyle w:val="28"/>
          <w:rFonts w:hint="default" w:ascii="Times New Roman"/>
          <w:color w:val="auto"/>
          <w:kern w:val="2"/>
          <w:sz w:val="32"/>
          <w:szCs w:val="32"/>
          <w:u w:val="none"/>
        </w:rPr>
      </w:pPr>
      <w:bookmarkStart w:id="141" w:name="_Toc2991"/>
      <w:r>
        <w:rPr>
          <w:rStyle w:val="28"/>
          <w:rFonts w:hint="default" w:ascii="Times New Roman"/>
          <w:color w:val="auto"/>
          <w:kern w:val="2"/>
          <w:sz w:val="32"/>
          <w:szCs w:val="32"/>
          <w:u w:val="none"/>
        </w:rPr>
        <w:t>社会效益</w:t>
      </w:r>
      <w:bookmarkEnd w:id="141"/>
    </w:p>
    <w:p w14:paraId="4D10E993">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（一）增强民族团结、促进社会稳定</w:t>
      </w:r>
    </w:p>
    <w:p w14:paraId="5DEA49E5">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不仅是国家安全屏障和生态安全屏障重要一环，同样是“一带一路”建设总体布局中重要的战略要道。目前，昌都市部分食物和生活用品等必要物资还需要内地输送，经济发展与缓解民生的压力依然较大。这不仅将影响基层群众生活水平的提高，也会对民族凝聚力和向心力产生冲击。</w:t>
      </w:r>
    </w:p>
    <w:p w14:paraId="0723E9FE">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通过本项目的实施，不仅可以保护与修复昌都市的保护地、草原的生境，制止盲目开发和过度利用高原生物资源，使草原释放出更大的潜能，而且还可以优化传统的产业结构，提升产品的科技含量和产品的附加值，并带动与其相关的产品加工、交通运输、物流、信息服务等多种产业发展，扩大人员、文化、信息交流，营造环境好、灾害少、家园兴、政权稳的生存环境，对加快昌都市社会经济发展、促进民族团结、增强对祖国的向心力都具有十分重大的意义。</w:t>
      </w:r>
    </w:p>
    <w:p w14:paraId="4A4B175A">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（二）规划的编制和实施，是实现昌都市山川秀美和经济繁荣重要保障</w:t>
      </w:r>
    </w:p>
    <w:p w14:paraId="4A8B83D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在人口、资源、环境问题日益突出的昌都市，生态环境的保护和建设对维护全市的生态安全具有举足轻重的作用。昌都市海拔高、气候恶劣，生态系统脆弱，地表土层瘠薄，植被一旦遭受破坏，容易诱发严重的水土流失，形成沙化、荒漠化。规划的编制和实施，将更好地建设区域的水源涵养能力，减少向河湖输入泥沙，从根本上遏制了该地区的水土流失、土地沙化、生物多样性丧失等一系列生态退化趋势的发展。因此，规划的编制和实施是昌都市生态文明建设、江河源生态安全体系建设中的重要环节，是实现昌都市生态环境良性循环和经济社会可持续发展的重要保障。</w:t>
      </w:r>
    </w:p>
    <w:p w14:paraId="4B2758E8">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（三）规划的编制和实施，提高了当地城乡居民自然环境保护意识</w:t>
      </w:r>
    </w:p>
    <w:p w14:paraId="2458D496">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编制和实施，将举办草原保护修复的宣传、教育和科学普及等活动，进一步增强人们的环保意识，使人们逐步了解自然、关爱自然、尊重自然，进而自觉地保护自然，为生态环境建设出力。人们的各种经营行为将得以规范，各种盲目无序的、有碍生态环境保护的经营活动将逐渐减少，该地区将拥有一个热爱自然、保护自然的良好社会氛围，必将促进当地社区的精神文明建设。</w:t>
      </w:r>
    </w:p>
    <w:p w14:paraId="59CB8DEC">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（四）创造科研条件，提供教学基地</w:t>
      </w:r>
    </w:p>
    <w:p w14:paraId="65DBEEB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昌都市自然保护地内景观斑块大、类型多，生物多样性丰富，生态系统复杂。通过工程的实施，增加了生物多样性和类型多样性，从而为开展科研创造了良好的条件。同时又为教学实习提供场所。自然保护地是普及科学文化知识，进行科普教育的基地，通过在自然保护地内精心设计的教育内容，将使自然保护地成为天然的课堂，增加人们的地理、历史、生物知识，增强人们亲近自然的欲望，让更多的人加入保护生态环境、草原资源和野生动植物资源的行列中来。</w:t>
      </w:r>
    </w:p>
    <w:p w14:paraId="55756BC7">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（五）规划的编制和实施，将促进草原文化传承，助力居民就业</w:t>
      </w:r>
    </w:p>
    <w:p w14:paraId="51B5AF7E">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编制和实施，通过草原保护管理、修复治理、草产业发展、生态旅游等不同建设项目，为当地提供一定就业机会，可有效带动当地经济发展，一定程度上缓解当地经济发展与生态环境的矛盾。同时，本规划对草原周边产业的开发，如发展生态旅游、科学发展虫草及相关产品产业，有助于传承和弘扬昌都市草原文化，进一步巩固民族团结，发扬民族特色。</w:t>
      </w:r>
    </w:p>
    <w:p w14:paraId="36D80043">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（六）可持续利用资源，促进生态文明发展</w:t>
      </w:r>
    </w:p>
    <w:p w14:paraId="7C3DF110">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本规划通过科学合理的草原修复和草业产业开发，可以实现草原资源的可持续利用，促进畜牧业和相关产业的长期稳定和谐发展，进一步推动草原生态保护事业有助于促进生态文明建设，提高全市生态文明意识，实现经济、社会和环境的协调发展。</w:t>
      </w:r>
    </w:p>
    <w:p w14:paraId="37561315">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（七）助力社会稳定和长治久安</w:t>
      </w:r>
    </w:p>
    <w:p w14:paraId="6FE9C3A1">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本次规划对草原的修复和合理开发利用可以减少区域因生态恶化引发的社会问题，牧民收入的提高也能推进整体社会的长治久安。</w:t>
      </w:r>
    </w:p>
    <w:p w14:paraId="25F2EA89">
      <w:pPr>
        <w:pStyle w:val="3"/>
        <w:keepNext/>
        <w:keepLines/>
        <w:numPr>
          <w:ilvl w:val="1"/>
          <w:numId w:val="2"/>
        </w:numPr>
        <w:spacing w:before="120" w:beforeAutospacing="0" w:after="120" w:afterAutospacing="0" w:line="360" w:lineRule="auto"/>
        <w:jc w:val="both"/>
        <w:rPr>
          <w:rStyle w:val="28"/>
          <w:rFonts w:hint="default" w:ascii="Times New Roman" w:hAnsi="Times New Roman"/>
          <w:color w:val="auto"/>
          <w:kern w:val="2"/>
          <w:sz w:val="32"/>
          <w:szCs w:val="32"/>
          <w:u w:val="none"/>
        </w:rPr>
      </w:pPr>
      <w:bookmarkStart w:id="142" w:name="_Toc20483"/>
      <w:r>
        <w:rPr>
          <w:rStyle w:val="28"/>
          <w:rFonts w:hint="default" w:ascii="Times New Roman"/>
          <w:color w:val="auto"/>
          <w:kern w:val="2"/>
          <w:sz w:val="32"/>
          <w:szCs w:val="32"/>
          <w:u w:val="none"/>
        </w:rPr>
        <w:t>经济效益</w:t>
      </w:r>
      <w:bookmarkEnd w:id="142"/>
    </w:p>
    <w:p w14:paraId="58C7CBAA">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编制是以草原保护、修复治理、草业发展、生态环境健康和经济可持续发展，取得生态效益和社会效益为总体目标。规划编制主要围绕这一目标安排项目，随着规划实施，草原得到保护，草原生态系统质量的提高，所产生的效益巨大。</w:t>
      </w:r>
    </w:p>
    <w:p w14:paraId="7A8E5678">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（一）草原生态保护和修复治理</w:t>
      </w:r>
    </w:p>
    <w:p w14:paraId="25B1CB7E">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通过草原生态保护和修复治理工程的实施，结合自治区以工代赈的政策，鲜草产量提高，草原生产力将大幅提升，增加载畜量的同时，也为当地带来大量就业机会和就业岗位，直接经济效益十分显著。</w:t>
      </w:r>
    </w:p>
    <w:p w14:paraId="063491D4">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此外，规划还将改善牧业基础条件，扶持新型经营主体，促进牧业生产方式转变列入规划建设内容，规划实施后将有力地提高草地畜牧业的防抗灾能力和生产效率，其间接经济效益亦十分显著。</w:t>
      </w:r>
    </w:p>
    <w:p w14:paraId="4E1A19D9">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（二）夯实产业基础，实现增产增收</w:t>
      </w:r>
    </w:p>
    <w:p w14:paraId="0A930DF7">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本规划力求通过发展草种基地、人工种草、冬虫夏草产业、草原文化旅游、草原碳汇等产业，促进昌都市初步构建起完整的草原产业体系，国民经济产业结构得到优化调整，所带来的经济效益主要包括草种、冬虫夏草等销售所得；产品进一步精深加工后所提升的附加值；生态旅游中出售门票、销售相关产品以及提供旅游服务等所实现的收入。</w:t>
      </w:r>
    </w:p>
    <w:p w14:paraId="59249FE9">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可见规划的实施能为当地带来巨大的经济收益，可以有效地调整农村产业结构，加快当地群众脱贫致富的步伐，拓宽地方财政的渠道，为社区经济发展创造条件，增加当地群众的收入。</w:t>
      </w:r>
    </w:p>
    <w:p w14:paraId="2C15EE19">
      <w:pPr>
        <w:spacing w:line="360" w:lineRule="auto"/>
        <w:ind w:firstLine="480" w:firstLineChars="200"/>
        <w:rPr>
          <w:rStyle w:val="27"/>
          <w:rFonts w:hint="eastAsia" w:ascii="Times New Roman" w:hAnsi="Times New Roman"/>
          <w:b w:val="0"/>
          <w:bCs/>
          <w:sz w:val="24"/>
          <w:szCs w:val="24"/>
          <w:shd w:val="clear" w:color="auto" w:fill="FFFFFF"/>
        </w:rPr>
      </w:pPr>
      <w:r>
        <w:rPr>
          <w:rStyle w:val="27"/>
          <w:rFonts w:hint="eastAsia" w:ascii="Times New Roman" w:hAnsi="Times New Roman"/>
          <w:b w:val="0"/>
          <w:bCs/>
          <w:sz w:val="24"/>
          <w:szCs w:val="24"/>
          <w:shd w:val="clear" w:color="auto" w:fill="FFFFFF"/>
        </w:rPr>
        <w:t>（三）拓展旅游景点，增加旅游收入</w:t>
      </w:r>
    </w:p>
    <w:p w14:paraId="5971B329">
      <w:pPr>
        <w:spacing w:line="360" w:lineRule="auto"/>
        <w:ind w:firstLine="480" w:firstLineChars="200"/>
        <w:contextualSpacing/>
        <w:rPr>
          <w:rFonts w:ascii="Times New Roman" w:hAnsi="Times New Roman" w:eastAsia="宋体" w:cs="Times New Roman"/>
          <w:sz w:val="24"/>
          <w:szCs w:val="24"/>
        </w:rPr>
      </w:pPr>
      <w:r>
        <w:rPr>
          <w:rFonts w:hint="eastAsia" w:ascii="Times New Roman" w:hAnsi="Times New Roman" w:eastAsia="宋体" w:cs="Times New Roman"/>
          <w:sz w:val="24"/>
          <w:szCs w:val="24"/>
        </w:rPr>
        <w:t>规划的实施将改善昌都市草原退化现状，恢复草原功能及景观美学价值，依托昌都市优越的地理位置和交通优势，吸引更多的旅游人员进入，增加第三产业收入，为藏东文旅康养示范区建设添砖加瓦。</w:t>
      </w:r>
    </w:p>
    <w:p w14:paraId="04FA94ED">
      <w:pPr>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347CAE6D">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附表1重点建设项目安排表</w:t>
      </w:r>
    </w:p>
    <w:tbl>
      <w:tblPr>
        <w:tblStyle w:val="24"/>
        <w:tblW w:w="8426" w:type="dxa"/>
        <w:tblInd w:w="0" w:type="dxa"/>
        <w:tblLayout w:type="fixed"/>
        <w:tblCellMar>
          <w:top w:w="0" w:type="dxa"/>
          <w:left w:w="0" w:type="dxa"/>
          <w:bottom w:w="0" w:type="dxa"/>
          <w:right w:w="0" w:type="dxa"/>
        </w:tblCellMar>
      </w:tblPr>
      <w:tblGrid>
        <w:gridCol w:w="363"/>
        <w:gridCol w:w="1584"/>
        <w:gridCol w:w="473"/>
        <w:gridCol w:w="3492"/>
        <w:gridCol w:w="958"/>
        <w:gridCol w:w="778"/>
        <w:gridCol w:w="778"/>
      </w:tblGrid>
      <w:tr w14:paraId="4DCB33E5">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69011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序号</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025A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A9CFD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建设性质</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B4C29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主要建设内容及规模</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540B8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建设年限</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041B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资金估算</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25289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投资类别</w:t>
            </w:r>
          </w:p>
        </w:tc>
      </w:tr>
      <w:tr w14:paraId="2EF3CE14">
        <w:tblPrEx>
          <w:tblCellMar>
            <w:top w:w="0" w:type="dxa"/>
            <w:left w:w="0" w:type="dxa"/>
            <w:bottom w:w="0" w:type="dxa"/>
            <w:right w:w="0" w:type="dxa"/>
          </w:tblCellMar>
        </w:tblPrEx>
        <w:trPr>
          <w:trHeight w:val="180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06A5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7AAEB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洛隆县森林草原防火预警监测系统建设工程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E583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0A44A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森林草原火险预警平台1处，主要建设内容包含森林草原防火视频基础服务平台、森林草原防火地理信息系统、森林草原防火综合管理系统、县级网络专线、林火视频监控后端设备。在森林草原资源分布集中、可燃物累积多、干旱少雨和火源控制难度大等重点林草区和重点部位建设前端林火视频监控系统8处，监视周围5km以上范围森林草原状况。设立智能语音卡口60处，采用现有公网无线传输数据模式与洛隆县森林防火指挥系统连接，完善监控网络。建设地点选择在各乡镇重点防火区域的出入口、主干道路、游客游览路线等处。</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CE804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9FF10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6DA2C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37FCB6FA">
        <w:tblPrEx>
          <w:tblCellMar>
            <w:top w:w="0" w:type="dxa"/>
            <w:left w:w="0" w:type="dxa"/>
            <w:bottom w:w="0" w:type="dxa"/>
            <w:right w:w="0" w:type="dxa"/>
          </w:tblCellMar>
        </w:tblPrEx>
        <w:trPr>
          <w:trHeight w:val="113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960A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3655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洛隆县森林草原防火通信指挥系统建设工程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8C5D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E35F5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为11乡镇配备卫星定位仪22部，卫星电话22部，手持对讲机55台等；在森林草原防灭火指挥部现有的基础上，升级建设包括管理信息输出视频会议系统、视频监控平台；购置通信指挥车1辆。</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802F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38C13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03167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1F13F66D">
        <w:tblPrEx>
          <w:tblCellMar>
            <w:top w:w="0" w:type="dxa"/>
            <w:left w:w="0" w:type="dxa"/>
            <w:bottom w:w="0" w:type="dxa"/>
            <w:right w:w="0" w:type="dxa"/>
          </w:tblCellMar>
        </w:tblPrEx>
        <w:trPr>
          <w:trHeight w:val="130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74432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3</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C0D74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洛隆县森林草原防火宣传教育工程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179C5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4AA98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森林草原防火大型宣传牌22个，在全县11个乡镇各设置2个，主要竖立于人为活动较多的公路交叉口、入山路口、重点林区草原等；定制防灭火宣传专题宣传品5000套，宣传品主要包括藏汉双语的防火宣传横幅、森林草原防灭火宣传手册、宣传单等材料。</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E08F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A168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7031B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75BC76E3">
        <w:tblPrEx>
          <w:tblCellMar>
            <w:top w:w="0" w:type="dxa"/>
            <w:left w:w="0" w:type="dxa"/>
            <w:bottom w:w="0" w:type="dxa"/>
            <w:right w:w="0" w:type="dxa"/>
          </w:tblCellMar>
        </w:tblPrEx>
        <w:trPr>
          <w:trHeight w:val="152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0D70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4</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5ABD8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洛隆县卓玛朗措国家湿地公园生态治理建设项目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94E9C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29A40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建设巡护栈道4800m，平均宽度为 1.5m 宽，新建鸟类监测点一个、鱼类监测点一个、野生动物监测点一个，设置牌坊一座，通往湖边道路两侧 1.5m 宽播撒草种（格桑花及美国草），涉及昌都 15.14 公里，播撒面积约22709.77 平方米，涉及湖边树木病虫害防治 5000 余亩。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1B38C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02EE5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D026F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78AFA20F">
        <w:tblPrEx>
          <w:tblCellMar>
            <w:top w:w="0" w:type="dxa"/>
            <w:left w:w="0" w:type="dxa"/>
            <w:bottom w:w="0" w:type="dxa"/>
            <w:right w:w="0" w:type="dxa"/>
          </w:tblCellMar>
        </w:tblPrEx>
        <w:trPr>
          <w:trHeight w:val="84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894D4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5</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9B8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洛隆县林草资源远程视频监控系统建设项目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18FE8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A032E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依托县域林区范围内现有铁塔（信号塔）安装林草防火双识别预警系统和野生动植物资源监控系统200套</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5809A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2027-2028</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ECFE3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D2DC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中央财政资金</w:t>
            </w:r>
          </w:p>
        </w:tc>
      </w:tr>
      <w:tr w14:paraId="05B6E2CD">
        <w:tblPrEx>
          <w:tblCellMar>
            <w:top w:w="0" w:type="dxa"/>
            <w:left w:w="0" w:type="dxa"/>
            <w:bottom w:w="0" w:type="dxa"/>
            <w:right w:w="0" w:type="dxa"/>
          </w:tblCellMar>
        </w:tblPrEx>
        <w:trPr>
          <w:trHeight w:val="74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7BE52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6</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65891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洛隆县草原生态修复治理项目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46E10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FEF75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实施人工种草2万亩、草原改良2万亩、休牧围栏1万米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E64E2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7FBB4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898</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B39B1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6862CF42">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7846E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777F3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江达县2026年重点区域生态保护和修复工程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7F9823">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BE9D8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实施中度退化2万亩，轻度退化3万亩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BDD4E8">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2026-2</w:t>
            </w:r>
            <w:r>
              <w:rPr>
                <w:rFonts w:hint="eastAsia" w:ascii="Times New Roman" w:hAnsi="Times New Roman" w:eastAsia="宋体" w:cs="Times New Roman"/>
                <w:kern w:val="0"/>
                <w:sz w:val="18"/>
                <w:szCs w:val="18"/>
              </w:rPr>
              <w:t>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3B28E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0FD28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01FA2152">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88E39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BFBE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江达县2027年重点区域生态保护和修复工程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C58CF9">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83B99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实施中度退化3万亩，轻度退化3万亩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682434">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w:t>
            </w:r>
            <w:r>
              <w:rPr>
                <w:rFonts w:hint="eastAsia" w:ascii="Times New Roman" w:hAnsi="Times New Roman" w:eastAsia="宋体" w:cs="Times New Roman"/>
                <w:kern w:val="0"/>
                <w:sz w:val="18"/>
                <w:szCs w:val="18"/>
              </w:rPr>
              <w:t>7</w:t>
            </w:r>
            <w:r>
              <w:rPr>
                <w:rFonts w:ascii="Times New Roman" w:hAnsi="Times New Roman" w:eastAsia="宋体" w:cs="Times New Roman"/>
                <w:kern w:val="0"/>
                <w:sz w:val="18"/>
                <w:szCs w:val="18"/>
              </w:rPr>
              <w:t>-20</w:t>
            </w:r>
            <w:r>
              <w:rPr>
                <w:rFonts w:hint="eastAsia" w:ascii="Times New Roman" w:hAnsi="Times New Roman" w:eastAsia="宋体" w:cs="Times New Roman"/>
                <w:kern w:val="0"/>
                <w:sz w:val="18"/>
                <w:szCs w:val="18"/>
              </w:rPr>
              <w:t>28</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81D74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3B505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E777B42">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DE72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E77D2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江达县2028年重点区域生态保护和修复工程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DF97FE">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3BF92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实施中度退化2万亩，轻度退化3.5万亩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4B7822">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w:t>
            </w:r>
            <w:r>
              <w:rPr>
                <w:rFonts w:hint="eastAsia" w:ascii="Times New Roman" w:hAnsi="Times New Roman" w:eastAsia="宋体" w:cs="Times New Roman"/>
                <w:kern w:val="0"/>
                <w:sz w:val="18"/>
                <w:szCs w:val="18"/>
              </w:rPr>
              <w:t>8</w:t>
            </w:r>
            <w:r>
              <w:rPr>
                <w:rFonts w:ascii="Times New Roman" w:hAnsi="Times New Roman" w:eastAsia="宋体" w:cs="Times New Roman"/>
                <w:kern w:val="0"/>
                <w:sz w:val="18"/>
                <w:szCs w:val="18"/>
              </w:rPr>
              <w:t>20</w:t>
            </w:r>
            <w:r>
              <w:rPr>
                <w:rFonts w:hint="eastAsia" w:ascii="Times New Roman" w:hAnsi="Times New Roman" w:eastAsia="宋体" w:cs="Times New Roman"/>
                <w:kern w:val="0"/>
                <w:sz w:val="18"/>
                <w:szCs w:val="18"/>
              </w:rPr>
              <w:t>29</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D8951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1250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F0EAF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5AD9C843">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8D4AD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10</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BCC4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江达县2029年重点区域生态保护和修复工程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1B40F5">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0BE0F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实施中度退化4万亩，轻度退化3万亩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229CA9">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w:t>
            </w:r>
            <w:r>
              <w:rPr>
                <w:rFonts w:hint="eastAsia" w:ascii="Times New Roman" w:hAnsi="Times New Roman" w:eastAsia="宋体" w:cs="Times New Roman"/>
                <w:kern w:val="0"/>
                <w:sz w:val="18"/>
                <w:szCs w:val="18"/>
              </w:rPr>
              <w:t>9</w:t>
            </w:r>
            <w:r>
              <w:rPr>
                <w:rFonts w:ascii="Times New Roman" w:hAnsi="Times New Roman" w:eastAsia="宋体" w:cs="Times New Roman"/>
                <w:kern w:val="0"/>
                <w:sz w:val="18"/>
                <w:szCs w:val="18"/>
              </w:rPr>
              <w:t>-2030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C5103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A5270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58D47D79">
        <w:tblPrEx>
          <w:tblCellMar>
            <w:top w:w="0" w:type="dxa"/>
            <w:left w:w="0" w:type="dxa"/>
            <w:bottom w:w="0" w:type="dxa"/>
            <w:right w:w="0" w:type="dxa"/>
          </w:tblCellMar>
        </w:tblPrEx>
        <w:trPr>
          <w:trHeight w:val="6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14E25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11</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B13A2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江达县2030年重点区域生态保护和修复工程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569358">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2AABC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实施中度退化5万亩，轻度退化3万亩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0C62AD">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w:t>
            </w:r>
            <w:r>
              <w:rPr>
                <w:rFonts w:hint="eastAsia" w:ascii="Times New Roman" w:hAnsi="Times New Roman" w:eastAsia="宋体" w:cs="Times New Roman"/>
                <w:kern w:val="0"/>
                <w:sz w:val="18"/>
                <w:szCs w:val="18"/>
              </w:rPr>
              <w:t>30-</w:t>
            </w:r>
            <w:r>
              <w:rPr>
                <w:rFonts w:ascii="Times New Roman" w:hAnsi="Times New Roman" w:eastAsia="宋体" w:cs="Times New Roman"/>
                <w:kern w:val="0"/>
                <w:sz w:val="18"/>
                <w:szCs w:val="18"/>
              </w:rPr>
              <w:t>203</w:t>
            </w:r>
            <w:r>
              <w:rPr>
                <w:rFonts w:hint="eastAsia" w:ascii="Times New Roman" w:hAnsi="Times New Roman" w:eastAsia="宋体" w:cs="Times New Roman"/>
                <w:kern w:val="0"/>
                <w:sz w:val="18"/>
                <w:szCs w:val="18"/>
              </w:rPr>
              <w:t>1</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B26C19">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1800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81B8D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8155E2E">
        <w:tblPrEx>
          <w:tblCellMar>
            <w:top w:w="0" w:type="dxa"/>
            <w:left w:w="0" w:type="dxa"/>
            <w:bottom w:w="0" w:type="dxa"/>
            <w:right w:w="0" w:type="dxa"/>
          </w:tblCellMar>
        </w:tblPrEx>
        <w:trPr>
          <w:trHeight w:val="50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C83A8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12</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C4F6F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贡觉县有害生物防治鼠害治理项目（生物防治）</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F57C8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09D2A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每个鹰架控制的有效面积约为 12 万平方米（12 公顷），每只老鹰每天能捕猎2至5只鼠兔，在贡觉县范围内及周边区域共计搭设20000余处招鹰架，预计控制面积为2万公顷，每只老鹰每天能捕猎2至5只鼠兔。主要设置在较为平坦、开阔、植被覆盖度小的地带。</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75FE3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14FC9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464</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E7A9C2">
            <w:pPr>
              <w:widowControl/>
              <w:jc w:val="center"/>
              <w:textAlignment w:val="center"/>
              <w:rPr>
                <w:rFonts w:ascii="Times New Roman" w:hAnsi="Times New Roman" w:eastAsia="宋体" w:cs="Times New Roman"/>
                <w:kern w:val="0"/>
                <w:sz w:val="18"/>
                <w:szCs w:val="18"/>
              </w:rPr>
            </w:pPr>
          </w:p>
        </w:tc>
      </w:tr>
      <w:tr w14:paraId="228DD8A3">
        <w:tblPrEx>
          <w:tblCellMar>
            <w:top w:w="0" w:type="dxa"/>
            <w:left w:w="0" w:type="dxa"/>
            <w:bottom w:w="0" w:type="dxa"/>
            <w:right w:w="0" w:type="dxa"/>
          </w:tblCellMar>
        </w:tblPrEx>
        <w:trPr>
          <w:trHeight w:val="59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AF89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13</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A644C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贡觉县有害生物防治治理项目（虫害和毒害治理）</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019474">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9B080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治理面积草原及森林50余万亩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A088A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D077D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905B94">
            <w:pPr>
              <w:widowControl/>
              <w:jc w:val="center"/>
              <w:textAlignment w:val="center"/>
              <w:rPr>
                <w:rFonts w:ascii="Times New Roman" w:hAnsi="Times New Roman" w:eastAsia="宋体" w:cs="Times New Roman"/>
                <w:kern w:val="0"/>
                <w:sz w:val="18"/>
                <w:szCs w:val="18"/>
              </w:rPr>
            </w:pPr>
          </w:p>
        </w:tc>
      </w:tr>
      <w:tr w14:paraId="5F111B04">
        <w:tblPrEx>
          <w:tblCellMar>
            <w:top w:w="0" w:type="dxa"/>
            <w:left w:w="0" w:type="dxa"/>
            <w:bottom w:w="0" w:type="dxa"/>
            <w:right w:w="0" w:type="dxa"/>
          </w:tblCellMar>
        </w:tblPrEx>
        <w:trPr>
          <w:trHeight w:val="59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47B95F">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14</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7F14EF">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贡觉县2026年退化草原生态修复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6FAAE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3F1733">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中度退化修复5万亩，轻度退化修复2万亩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7D0DB">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A0531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280F8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4C202CF5">
        <w:tblPrEx>
          <w:tblCellMar>
            <w:top w:w="0" w:type="dxa"/>
            <w:left w:w="0" w:type="dxa"/>
            <w:bottom w:w="0" w:type="dxa"/>
            <w:right w:w="0" w:type="dxa"/>
          </w:tblCellMar>
        </w:tblPrEx>
        <w:trPr>
          <w:trHeight w:val="66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D9358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15</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56268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昌都市丁青县草原监督管理站</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86790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6689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草原防火宣传，自然灾害，生态保护，7个</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23B20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F42F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94DB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39DC835F">
        <w:tblPrEx>
          <w:tblCellMar>
            <w:top w:w="0" w:type="dxa"/>
            <w:left w:w="0" w:type="dxa"/>
            <w:bottom w:w="0" w:type="dxa"/>
            <w:right w:w="0" w:type="dxa"/>
          </w:tblCellMar>
        </w:tblPrEx>
        <w:trPr>
          <w:trHeight w:val="697"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E8FA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16</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FC05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昌都市丁青县草原鼠虫毒草害防治工程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FDAD6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2687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治理严重鼠兔害草地60万亩、虫害草地5万亩、毒草害草地0.2万亩，鼠兔害防治项目等</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1B8EE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3D982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DA1C3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699BCD23">
        <w:tblPrEx>
          <w:tblCellMar>
            <w:top w:w="0" w:type="dxa"/>
            <w:left w:w="0" w:type="dxa"/>
            <w:bottom w:w="0" w:type="dxa"/>
            <w:right w:w="0" w:type="dxa"/>
          </w:tblCellMar>
        </w:tblPrEx>
        <w:trPr>
          <w:trHeight w:val="384"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1FDD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17</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C592E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昌都市丁青县防沙治沙草原修复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31A2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4D88F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4万亩沙化土地的草原修复</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23DA3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E165A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B2B98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68AEA171">
        <w:tblPrEx>
          <w:tblCellMar>
            <w:top w:w="0" w:type="dxa"/>
            <w:left w:w="0" w:type="dxa"/>
            <w:bottom w:w="0" w:type="dxa"/>
            <w:right w:w="0" w:type="dxa"/>
          </w:tblCellMar>
        </w:tblPrEx>
        <w:trPr>
          <w:trHeight w:val="59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769AF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18</w:t>
            </w:r>
          </w:p>
        </w:tc>
        <w:tc>
          <w:tcPr>
            <w:tcW w:w="15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B2DA7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昌都市丁青县草原生态修复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5969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05B59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多年生草种30万亩草原修复，每年3万亩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547F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8F0B4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55C04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国家投资</w:t>
            </w:r>
          </w:p>
        </w:tc>
      </w:tr>
      <w:tr w14:paraId="4039E998">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CF8B43">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19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9271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洛隆县退化</w:t>
            </w:r>
            <w:r>
              <w:rPr>
                <w:rFonts w:ascii="Times New Roman" w:hAnsi="Times New Roman" w:eastAsia="宋体" w:cs="Times New Roman"/>
                <w:kern w:val="0"/>
                <w:sz w:val="18"/>
                <w:szCs w:val="18"/>
              </w:rPr>
              <w:t>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DB7D4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63CC7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w:t>
            </w:r>
            <w:r>
              <w:rPr>
                <w:rFonts w:hint="eastAsia" w:ascii="Times New Roman" w:hAnsi="Times New Roman" w:eastAsia="宋体" w:cs="Times New Roman"/>
                <w:kern w:val="0"/>
                <w:sz w:val="18"/>
                <w:szCs w:val="18"/>
              </w:rPr>
              <w:t>2</w:t>
            </w:r>
            <w:r>
              <w:rPr>
                <w:rFonts w:ascii="Times New Roman" w:hAnsi="Times New Roman" w:eastAsia="宋体" w:cs="Times New Roman"/>
                <w:kern w:val="0"/>
                <w:sz w:val="18"/>
                <w:szCs w:val="18"/>
              </w:rPr>
              <w:t>万亩，轻度退化修复2万亩，</w:t>
            </w:r>
            <w:r>
              <w:rPr>
                <w:rFonts w:hint="eastAsia" w:ascii="Times New Roman" w:hAnsi="Times New Roman" w:eastAsia="宋体" w:cs="Times New Roman"/>
                <w:kern w:val="0"/>
                <w:sz w:val="18"/>
                <w:szCs w:val="18"/>
              </w:rPr>
              <w:t>围栏0.5万米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C8637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EF64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813</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1B9AA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3873CE81">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8BAB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20ADA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边坝县2026年草原保护与修复项目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2F5A6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A68D3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中度草原生态修复播撒草种子和有机肥20000亩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A8DD0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2AA61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BCA7B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6F67DE99">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580AC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98F52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边坝县2026年退化草原生态恢复治理项目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FEAD1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7CA6B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开展重度退化草原生态恢复治理，点播草种子，播撒有机肥50000亩，配备点播机等设备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A1110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6771D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55851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0826DD08">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ABCD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3AA8B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边坝县2027年草原保护与修复项目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82817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9411F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中度草原生态修复播撒草种子和有机肥20000亩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8B3C3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37B4A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F0AC0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5D309B46">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51238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213693">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边坝县2027年退化草原生态恢复治理项目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273D3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D90DD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开展重度退化草原生态恢复治理，点播草种子，播撒有机肥45000亩，配备点播机等设备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E4E69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D950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2250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D2631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7C649C2">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74BC7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48BED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边坝县2028年草原保护与修复项目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DF0C9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7AC5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中度草原生态修复播撒草种子和有机肥40000亩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ABD609">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2028</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B09A9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5D60D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47A90B57">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671EA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48A35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边坝县2028年退化草原生态恢复治理项目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4BDF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81B82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开展重度退化草原生态恢复治理，点播草种子，播撒有机肥45000亩，配备点播机等设备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9C18E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830C6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94939">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6537D47D">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E5B67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5DB88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边坝县2029年草原保护与修复项目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1B3EF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4AD442">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中度草原生态修复播撒草种子和有机肥40000亩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D902C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2029</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F55D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9C3F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723905AE">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EEF0B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C438D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边坝县2029年退化草原生态恢复治理项目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89389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20C3A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开展重度退化草原生态恢复治理，点播草种子，播撒有机肥50000亩，配备点播机等设备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D2C8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2029</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17652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FB253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2D993CB4">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3B73F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6B88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边坝县2030年草原保护与修复项目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F165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640D6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中度草原生态修复播撒草种子和有机肥40000亩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6E314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3B1EC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70A7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24336AB0">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2F954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AD7C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边坝县2030年退化草原生态恢复治理项目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CC7DA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D65BA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开展重度退化草原生态恢复治理，点播草种子，播撒有机肥40000亩，配备点播机等设备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CEED2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0948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C82FA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0938D121">
        <w:tblPrEx>
          <w:tblCellMar>
            <w:top w:w="0" w:type="dxa"/>
            <w:left w:w="0" w:type="dxa"/>
            <w:bottom w:w="0" w:type="dxa"/>
            <w:right w:w="0" w:type="dxa"/>
          </w:tblCellMar>
        </w:tblPrEx>
        <w:trPr>
          <w:trHeight w:val="85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24353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93DE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卡若区2026年退化草原生态修复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DA5E6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B0D1D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轻度退化修复2万亩，中度退化修复3万亩，重度退化修复5万亩</w:t>
            </w:r>
            <w:r>
              <w:rPr>
                <w:rFonts w:hint="eastAsia" w:ascii="Times New Roman" w:hAnsi="Times New Roman" w:eastAsia="宋体" w:cs="Times New Roman"/>
                <w:kern w:val="0"/>
                <w:sz w:val="18"/>
                <w:szCs w:val="18"/>
              </w:rPr>
              <w:t>，围栏5万米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0AF54">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248C5">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2530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A4CDC9">
            <w:pPr>
              <w:jc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中央财政林改资金</w:t>
            </w:r>
          </w:p>
        </w:tc>
      </w:tr>
      <w:tr w14:paraId="3D362195">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554B2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DB250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卡若区草原有害生物防治</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2B70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767B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实施虫害治理4万亩，实施毒害草治理6万亩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090931">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BE1694">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4F8BF">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中央财政林改资金</w:t>
            </w:r>
          </w:p>
        </w:tc>
      </w:tr>
      <w:tr w14:paraId="6BDD6748">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C268D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70DBC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左贡县市级南部区域防火物资储备及仓库建设项目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91AB0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A0D25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新建防火物资仓库1个，建设面积2850平方。</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BA01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2028-2030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C8514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975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1C7EF">
            <w:pPr>
              <w:widowControl/>
              <w:jc w:val="center"/>
              <w:textAlignment w:val="center"/>
              <w:rPr>
                <w:rFonts w:ascii="Times New Roman" w:hAnsi="Times New Roman" w:eastAsia="宋体" w:cs="Times New Roman"/>
                <w:kern w:val="0"/>
                <w:sz w:val="18"/>
                <w:szCs w:val="18"/>
              </w:rPr>
            </w:pPr>
          </w:p>
        </w:tc>
      </w:tr>
      <w:tr w14:paraId="7D96A9B3">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CA62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F6374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左贡县森林草原防火通道建设项目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E571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C8D4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旺达镇、扎玉镇、美玉乡等9个乡镇片区修建9条森林草原防火通道项目，总里程约150公里。</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1AE17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2027-2030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F9BF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A8822">
            <w:pPr>
              <w:widowControl/>
              <w:jc w:val="center"/>
              <w:textAlignment w:val="center"/>
              <w:rPr>
                <w:rFonts w:ascii="Times New Roman" w:hAnsi="Times New Roman" w:eastAsia="宋体" w:cs="Times New Roman"/>
                <w:kern w:val="0"/>
                <w:sz w:val="18"/>
                <w:szCs w:val="18"/>
              </w:rPr>
            </w:pPr>
          </w:p>
        </w:tc>
      </w:tr>
      <w:tr w14:paraId="377B5EB7">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F80B0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E42FB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左贡县防沙治沙和退化草原修复治理项目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5926B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0F375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旺达镇、田妥镇、美玉乡、东坝乡等防沙治沙面积6000亩。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2B15F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2028-2030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95709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3345E0">
            <w:pPr>
              <w:widowControl/>
              <w:jc w:val="center"/>
              <w:textAlignment w:val="center"/>
              <w:rPr>
                <w:rFonts w:ascii="Times New Roman" w:hAnsi="Times New Roman" w:eastAsia="宋体" w:cs="Times New Roman"/>
                <w:kern w:val="0"/>
                <w:sz w:val="18"/>
                <w:szCs w:val="18"/>
              </w:rPr>
            </w:pPr>
          </w:p>
        </w:tc>
      </w:tr>
      <w:tr w14:paraId="1CB7EB8E">
        <w:tblPrEx>
          <w:tblCellMar>
            <w:top w:w="0" w:type="dxa"/>
            <w:left w:w="0" w:type="dxa"/>
            <w:bottom w:w="0" w:type="dxa"/>
            <w:right w:w="0" w:type="dxa"/>
          </w:tblCellMar>
        </w:tblPrEx>
        <w:trPr>
          <w:trHeight w:val="570"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8D08E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6924B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左贡县2026年草原生态修复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881DE">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3F72B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中度退化修复5万亩，休牧围栏2万米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073DC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5A952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1552</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557F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31109604">
        <w:tblPrEx>
          <w:tblCellMar>
            <w:top w:w="0" w:type="dxa"/>
            <w:left w:w="0" w:type="dxa"/>
            <w:bottom w:w="0" w:type="dxa"/>
            <w:right w:w="0" w:type="dxa"/>
          </w:tblCellMar>
        </w:tblPrEx>
        <w:trPr>
          <w:trHeight w:val="258"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E2249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CB864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类乌齐县2026年退化草原生态修复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A1CDF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F59FF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中度退化修复2万亩，轻度退化修复2万亩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7C730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DC605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800</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3134A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004062BA">
        <w:tblPrEx>
          <w:tblCellMar>
            <w:top w:w="0" w:type="dxa"/>
            <w:left w:w="0" w:type="dxa"/>
            <w:bottom w:w="0" w:type="dxa"/>
            <w:right w:w="0" w:type="dxa"/>
          </w:tblCellMar>
        </w:tblPrEx>
        <w:trPr>
          <w:trHeight w:val="85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CFACF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7F07B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察雅县2026年退化草原生态修复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ECB11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FE09A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中度退化修复1万亩，轻度退化修复4万亩，休牧围栏4万米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FB24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82859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804</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164A9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0FA94BD4">
        <w:tblPrEx>
          <w:tblCellMar>
            <w:top w:w="0" w:type="dxa"/>
            <w:left w:w="0" w:type="dxa"/>
            <w:bottom w:w="0" w:type="dxa"/>
            <w:right w:w="0" w:type="dxa"/>
          </w:tblCellMar>
        </w:tblPrEx>
        <w:trPr>
          <w:trHeight w:val="736"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3FDD6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38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E8460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八宿县2026年退化草原生态修复治理项目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598F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08104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中度退化修复2万亩，轻度退化修复2万亩，休牧围栏2万米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3FE0E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2027-2028</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E629B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852</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DB426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中央预算内投资</w:t>
            </w:r>
          </w:p>
        </w:tc>
      </w:tr>
      <w:tr w14:paraId="79BE52F8">
        <w:tblPrEx>
          <w:tblCellMar>
            <w:top w:w="0" w:type="dxa"/>
            <w:left w:w="0" w:type="dxa"/>
            <w:bottom w:w="0" w:type="dxa"/>
            <w:right w:w="0" w:type="dxa"/>
          </w:tblCellMar>
        </w:tblPrEx>
        <w:trPr>
          <w:trHeight w:val="736"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1ED658">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1501D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芒康</w:t>
            </w:r>
            <w:r>
              <w:rPr>
                <w:rFonts w:ascii="Times New Roman" w:hAnsi="Times New Roman" w:eastAsia="宋体" w:cs="Times New Roman"/>
                <w:kern w:val="0"/>
                <w:sz w:val="18"/>
                <w:szCs w:val="18"/>
              </w:rPr>
              <w:t>县</w:t>
            </w:r>
            <w:r>
              <w:rPr>
                <w:rFonts w:hint="eastAsia" w:ascii="Times New Roman" w:hAnsi="Times New Roman" w:eastAsia="宋体" w:cs="Times New Roman"/>
                <w:kern w:val="0"/>
                <w:sz w:val="18"/>
                <w:szCs w:val="18"/>
              </w:rPr>
              <w:t>退化</w:t>
            </w:r>
            <w:r>
              <w:rPr>
                <w:rFonts w:ascii="Times New Roman" w:hAnsi="Times New Roman" w:eastAsia="宋体" w:cs="Times New Roman"/>
                <w:kern w:val="0"/>
                <w:sz w:val="18"/>
                <w:szCs w:val="18"/>
              </w:rPr>
              <w:t>草原生态修复</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986EE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7143B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重度退化修复0.01万亩，</w:t>
            </w:r>
            <w:r>
              <w:rPr>
                <w:rFonts w:ascii="Times New Roman" w:hAnsi="Times New Roman" w:eastAsia="宋体" w:cs="Times New Roman"/>
                <w:kern w:val="0"/>
                <w:sz w:val="18"/>
                <w:szCs w:val="18"/>
              </w:rPr>
              <w:t>中度退化修复2</w:t>
            </w:r>
            <w:r>
              <w:rPr>
                <w:rFonts w:hint="eastAsia" w:ascii="Times New Roman" w:hAnsi="Times New Roman" w:eastAsia="宋体" w:cs="Times New Roman"/>
                <w:kern w:val="0"/>
                <w:sz w:val="18"/>
                <w:szCs w:val="18"/>
              </w:rPr>
              <w:t>.0615</w:t>
            </w:r>
            <w:r>
              <w:rPr>
                <w:rFonts w:ascii="Times New Roman" w:hAnsi="Times New Roman" w:eastAsia="宋体" w:cs="Times New Roman"/>
                <w:kern w:val="0"/>
                <w:sz w:val="18"/>
                <w:szCs w:val="18"/>
              </w:rPr>
              <w:t>万亩，轻度退化修复</w:t>
            </w:r>
            <w:r>
              <w:rPr>
                <w:rFonts w:hint="eastAsia" w:ascii="Times New Roman" w:hAnsi="Times New Roman" w:eastAsia="宋体" w:cs="Times New Roman"/>
                <w:kern w:val="0"/>
                <w:sz w:val="18"/>
                <w:szCs w:val="18"/>
              </w:rPr>
              <w:t>0.51</w:t>
            </w:r>
            <w:r>
              <w:rPr>
                <w:rFonts w:ascii="Times New Roman" w:hAnsi="Times New Roman" w:eastAsia="宋体" w:cs="Times New Roman"/>
                <w:kern w:val="0"/>
                <w:sz w:val="18"/>
                <w:szCs w:val="18"/>
              </w:rPr>
              <w:t>万亩，休牧围栏</w:t>
            </w:r>
            <w:r>
              <w:rPr>
                <w:rFonts w:hint="eastAsia" w:ascii="Times New Roman" w:hAnsi="Times New Roman" w:eastAsia="宋体" w:cs="Times New Roman"/>
                <w:kern w:val="0"/>
                <w:sz w:val="18"/>
                <w:szCs w:val="18"/>
              </w:rPr>
              <w:t>6.45</w:t>
            </w:r>
            <w:r>
              <w:rPr>
                <w:rFonts w:ascii="Times New Roman" w:hAnsi="Times New Roman" w:eastAsia="宋体" w:cs="Times New Roman"/>
                <w:kern w:val="0"/>
                <w:sz w:val="18"/>
                <w:szCs w:val="18"/>
              </w:rPr>
              <w:t>万米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C94DD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C49F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842.15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13FD8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中央财政林改资金</w:t>
            </w:r>
          </w:p>
        </w:tc>
      </w:tr>
      <w:tr w14:paraId="5F934857">
        <w:tblPrEx>
          <w:tblCellMar>
            <w:top w:w="0" w:type="dxa"/>
            <w:left w:w="0" w:type="dxa"/>
            <w:bottom w:w="0" w:type="dxa"/>
            <w:right w:w="0" w:type="dxa"/>
          </w:tblCellMar>
        </w:tblPrEx>
        <w:trPr>
          <w:trHeight w:val="736"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83E51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40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B28D37">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芒康县金沙江中上游高原区生物多样性保护与生态修复重点项目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B91C89">
            <w:pPr>
              <w:widowControl/>
              <w:jc w:val="center"/>
              <w:textAlignment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B11A0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按照国家《长江重点生态区生态保护和修复重大工程建设规划（2021-2035》文件精神，推进芒康滇金丝猴国家级自然保护区保护与恢复；在金沙江干流和水土流失严重区，以小流域为单元，建设河湖岸线生态缓冲带，加强岸线生态保护和修复，实施水土流失、石漠化和土地综合整治。</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F6B4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5B16C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8500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B659A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311F0ABA">
        <w:tblPrEx>
          <w:tblCellMar>
            <w:top w:w="0" w:type="dxa"/>
            <w:left w:w="0" w:type="dxa"/>
            <w:bottom w:w="0" w:type="dxa"/>
            <w:right w:w="0" w:type="dxa"/>
          </w:tblCellMar>
        </w:tblPrEx>
        <w:trPr>
          <w:trHeight w:val="259"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EEAC5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A1E8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芒康县森林草原防灭火瞭望塔建设项目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1206C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EF1A4C">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新建森林草原防灭火瞭望塔6座，新建值班室、厕所及值班、生活设施设备</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FBB2B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1585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540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56E454">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国家资金</w:t>
            </w:r>
          </w:p>
        </w:tc>
      </w:tr>
      <w:tr w14:paraId="4589EE85">
        <w:tblPrEx>
          <w:tblCellMar>
            <w:top w:w="0" w:type="dxa"/>
            <w:left w:w="0" w:type="dxa"/>
            <w:bottom w:w="0" w:type="dxa"/>
            <w:right w:w="0" w:type="dxa"/>
          </w:tblCellMar>
        </w:tblPrEx>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801389">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4DB1E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芒康县防沙治沙建设项目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D6DD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FA36C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按照《昌都市防沙治沙规划（2021-2030）年》文件，实施封山（沙）育林100公顷，退化植被修复10公顷，人工固沙造林种草40公顷，沙化草原治理10公顷，水土流失治理30公顷。</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6AF7D3">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801DC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700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E6D36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72C74976">
        <w:tblPrEx>
          <w:tblCellMar>
            <w:top w:w="0" w:type="dxa"/>
            <w:left w:w="0" w:type="dxa"/>
            <w:bottom w:w="0" w:type="dxa"/>
            <w:right w:w="0" w:type="dxa"/>
          </w:tblCellMar>
        </w:tblPrEx>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1B95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74389D">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芒康县森林草原防灭火信息化建设项目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D0813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FAFD3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建设系统平台，包括高火险区域防灭火卡点、检查站、视频监控、车辆抓拍、人脸识别等设备建设；新增10个双光谱智能摄像头，实现对林区视频监测预警系统，对森林火情实时监控和预警推送；配备10台巡航无人机、车载对讲机、1台固定多媒体调度电台，提升指挥调度能力和应急处置水平。</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52FD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98385">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1100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0FD89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1A758638">
        <w:tblPrEx>
          <w:tblCellMar>
            <w:top w:w="0" w:type="dxa"/>
            <w:left w:w="0" w:type="dxa"/>
            <w:bottom w:w="0" w:type="dxa"/>
            <w:right w:w="0" w:type="dxa"/>
          </w:tblCellMar>
        </w:tblPrEx>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B78930">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38C9C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芒康县退化草原修复项目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1007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D3BAC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休牧围栏1万米、草原改良2万亩、人工种草2万亩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1F2B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2026-2027</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5516D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890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26E216">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4F3523A7">
        <w:tblPrEx>
          <w:tblCellMar>
            <w:top w:w="0" w:type="dxa"/>
            <w:left w:w="0" w:type="dxa"/>
            <w:bottom w:w="0" w:type="dxa"/>
            <w:right w:w="0" w:type="dxa"/>
          </w:tblCellMar>
        </w:tblPrEx>
        <w:trPr>
          <w:trHeight w:val="67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719B1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4AEAD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芒康县智慧林草管理平台建设项目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50FC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39007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主要内容是基础设施建设、林业资源数据库建设、县级林业时空大数据库管理系统、县级森林资源监测与监管系统、县级林长制巡护管理系统、系统集成门户、智慧林业运维管理系统等，实现芒康县森林草原资源的全方位监管。</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29AD3A">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2026-2030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BE445D">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400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B7A8D0">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国家资金</w:t>
            </w:r>
          </w:p>
        </w:tc>
      </w:tr>
      <w:tr w14:paraId="60064929">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11240F">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A9B06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草种原种基地建设项目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438CD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5FF2D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w:t>
            </w:r>
            <w:r>
              <w:rPr>
                <w:rFonts w:ascii="Times New Roman" w:hAnsi="Times New Roman" w:eastAsia="宋体" w:cs="Times New Roman"/>
                <w:kern w:val="0"/>
                <w:sz w:val="18"/>
                <w:szCs w:val="18"/>
              </w:rPr>
              <w:t>个</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10EF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w:t>
            </w:r>
            <w:r>
              <w:rPr>
                <w:rFonts w:hint="eastAsia" w:ascii="Times New Roman" w:hAnsi="Times New Roman" w:eastAsia="宋体" w:cs="Times New Roman"/>
                <w:kern w:val="0"/>
                <w:sz w:val="18"/>
                <w:szCs w:val="18"/>
              </w:rPr>
              <w:t>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B3A64B">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2EC51A">
            <w:pPr>
              <w:widowControl/>
              <w:jc w:val="center"/>
              <w:textAlignment w:val="center"/>
              <w:rPr>
                <w:rFonts w:ascii="Times New Roman" w:hAnsi="Times New Roman" w:eastAsia="宋体" w:cs="Times New Roman"/>
                <w:kern w:val="0"/>
                <w:sz w:val="18"/>
                <w:szCs w:val="18"/>
              </w:rPr>
            </w:pPr>
          </w:p>
        </w:tc>
      </w:tr>
      <w:tr w14:paraId="62B1501D">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B181A5">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650A08">
            <w:pPr>
              <w:widowControl/>
              <w:jc w:val="center"/>
              <w:textAlignment w:val="center"/>
              <w:rPr>
                <w:rFonts w:hint="eastAsia" w:ascii="Times New Roman" w:hAnsi="Times New Roman" w:eastAsia="宋体" w:cs="Times New Roman"/>
                <w:sz w:val="18"/>
                <w:szCs w:val="18"/>
                <w:lang w:eastAsia="zh-CN"/>
              </w:rPr>
            </w:pPr>
            <w:r>
              <w:rPr>
                <w:rFonts w:ascii="Times New Roman" w:hAnsi="Times New Roman" w:eastAsia="宋体" w:cs="Times New Roman"/>
                <w:kern w:val="0"/>
                <w:sz w:val="18"/>
                <w:szCs w:val="18"/>
              </w:rPr>
              <w:t>草种生产基地</w:t>
            </w:r>
            <w:r>
              <w:rPr>
                <w:rFonts w:hint="eastAsia" w:ascii="Times New Roman" w:hAnsi="Times New Roman" w:eastAsia="宋体" w:cs="Times New Roman"/>
                <w:kern w:val="0"/>
                <w:sz w:val="18"/>
                <w:szCs w:val="18"/>
                <w:lang w:eastAsia="zh-CN"/>
              </w:rPr>
              <w:t>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D9DBE8">
            <w:pPr>
              <w:jc w:val="center"/>
              <w:rPr>
                <w:rFonts w:ascii="Times New Roman" w:hAnsi="Times New Roman" w:eastAsia="宋体" w:cs="Times New Roman"/>
                <w:sz w:val="18"/>
                <w:szCs w:val="18"/>
              </w:rPr>
            </w:pPr>
            <w:r>
              <w:rPr>
                <w:rFonts w:ascii="Times New Roman" w:hAnsi="Times New Roman" w:eastAsia="宋体" w:cs="Times New Roman"/>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F22327">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kern w:val="0"/>
                <w:sz w:val="18"/>
                <w:szCs w:val="18"/>
              </w:rPr>
              <w:t>2</w:t>
            </w:r>
            <w:r>
              <w:rPr>
                <w:rFonts w:ascii="Times New Roman" w:hAnsi="Times New Roman" w:eastAsia="宋体" w:cs="Times New Roman"/>
                <w:kern w:val="0"/>
                <w:sz w:val="18"/>
                <w:szCs w:val="18"/>
              </w:rPr>
              <w:t>个</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730FC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w:t>
            </w:r>
            <w:r>
              <w:rPr>
                <w:rFonts w:hint="eastAsia" w:ascii="Times New Roman" w:hAnsi="Times New Roman" w:eastAsia="宋体" w:cs="Times New Roman"/>
                <w:kern w:val="0"/>
                <w:sz w:val="18"/>
                <w:szCs w:val="18"/>
              </w:rPr>
              <w:t>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35614E">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37F826">
            <w:pPr>
              <w:widowControl/>
              <w:jc w:val="center"/>
              <w:textAlignment w:val="center"/>
              <w:rPr>
                <w:rFonts w:ascii="Times New Roman" w:hAnsi="Times New Roman" w:eastAsia="宋体" w:cs="Times New Roman"/>
                <w:kern w:val="0"/>
                <w:sz w:val="18"/>
                <w:szCs w:val="18"/>
              </w:rPr>
            </w:pPr>
          </w:p>
        </w:tc>
      </w:tr>
      <w:tr w14:paraId="5FAF9111">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7634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CAF8D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饲草产业发展工程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7BB0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89ACD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至2035年建设饲草生产与加工基地</w:t>
            </w:r>
            <w:r>
              <w:rPr>
                <w:rFonts w:hint="eastAsia" w:ascii="Times New Roman" w:hAnsi="Times New Roman" w:eastAsia="宋体" w:cs="Times New Roman"/>
                <w:kern w:val="0"/>
                <w:sz w:val="18"/>
                <w:szCs w:val="18"/>
              </w:rPr>
              <w:t>8</w:t>
            </w:r>
            <w:r>
              <w:rPr>
                <w:rFonts w:ascii="Times New Roman" w:hAnsi="Times New Roman" w:eastAsia="宋体" w:cs="Times New Roman"/>
                <w:kern w:val="0"/>
                <w:sz w:val="18"/>
                <w:szCs w:val="18"/>
              </w:rPr>
              <w:t>0000亩</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EC90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7DA4C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3600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20215D">
            <w:pPr>
              <w:widowControl/>
              <w:jc w:val="center"/>
              <w:textAlignment w:val="center"/>
              <w:rPr>
                <w:rFonts w:ascii="Times New Roman" w:hAnsi="Times New Roman" w:eastAsia="宋体" w:cs="Times New Roman"/>
                <w:kern w:val="0"/>
                <w:sz w:val="18"/>
                <w:szCs w:val="18"/>
              </w:rPr>
            </w:pPr>
          </w:p>
        </w:tc>
      </w:tr>
      <w:tr w14:paraId="4514A908">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DEF9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49</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0577B1">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草原碳汇试点工程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9A91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CD03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选择人工种草区域建立草原碳汇试点项目进行碳交易，面积约</w:t>
            </w:r>
            <w:r>
              <w:rPr>
                <w:rFonts w:hint="eastAsia" w:ascii="Times New Roman" w:hAnsi="Times New Roman" w:eastAsia="宋体" w:cs="Times New Roman"/>
                <w:kern w:val="0"/>
                <w:sz w:val="18"/>
                <w:szCs w:val="18"/>
              </w:rPr>
              <w:t>10</w:t>
            </w:r>
            <w:r>
              <w:rPr>
                <w:rFonts w:ascii="Times New Roman" w:hAnsi="Times New Roman" w:eastAsia="宋体" w:cs="Times New Roman"/>
                <w:kern w:val="0"/>
                <w:sz w:val="18"/>
                <w:szCs w:val="18"/>
              </w:rPr>
              <w:t>万亩</w:t>
            </w:r>
            <w:r>
              <w:rPr>
                <w:rFonts w:hint="eastAsia"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9095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15053A">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300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7618DA">
            <w:pPr>
              <w:widowControl/>
              <w:jc w:val="center"/>
              <w:textAlignment w:val="center"/>
              <w:rPr>
                <w:rFonts w:ascii="Times New Roman" w:hAnsi="Times New Roman" w:eastAsia="宋体" w:cs="Times New Roman"/>
                <w:kern w:val="0"/>
                <w:sz w:val="18"/>
                <w:szCs w:val="18"/>
              </w:rPr>
            </w:pPr>
          </w:p>
        </w:tc>
      </w:tr>
      <w:tr w14:paraId="33811A06">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1EED6">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50</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6447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草原碳汇交易机制研究项目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F3F98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28C47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探索有效的发展模式及符合昌都草地性质的碳汇交易机制，建立草原碳汇交易生态补偿机制，积极探索“碳汇+”等生态产品落地，促进地方经济的发展和草地保护。依托国家级交易中心，搭建草原碳汇项目自愿交易系统和平台，推进全民参与碳普惠，创新发展碳汇金融产品。</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03D5FB">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0DC09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003845">
            <w:pPr>
              <w:widowControl/>
              <w:jc w:val="center"/>
              <w:textAlignment w:val="center"/>
              <w:rPr>
                <w:rFonts w:ascii="Times New Roman" w:hAnsi="Times New Roman" w:eastAsia="宋体" w:cs="Times New Roman"/>
                <w:kern w:val="0"/>
                <w:sz w:val="18"/>
                <w:szCs w:val="18"/>
              </w:rPr>
            </w:pPr>
          </w:p>
        </w:tc>
      </w:tr>
      <w:tr w14:paraId="000AFF88">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6D7409">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51</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DCF3A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冬虫夏草产业发展工程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E76D0">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FA46C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加强冬虫夏草资源普查和保护管理，每</w:t>
            </w:r>
            <w:r>
              <w:rPr>
                <w:rFonts w:hint="eastAsia" w:ascii="Times New Roman" w:hAnsi="Times New Roman" w:eastAsia="宋体" w:cs="Times New Roman"/>
                <w:kern w:val="0"/>
                <w:sz w:val="18"/>
                <w:szCs w:val="18"/>
                <w:lang w:val="en-US" w:eastAsia="zh-CN"/>
              </w:rPr>
              <w:t>10</w:t>
            </w:r>
            <w:r>
              <w:rPr>
                <w:rFonts w:ascii="Times New Roman" w:hAnsi="Times New Roman" w:eastAsia="宋体" w:cs="Times New Roman"/>
                <w:kern w:val="0"/>
                <w:sz w:val="18"/>
                <w:szCs w:val="18"/>
              </w:rPr>
              <w:t>年更新资源普查评估报告</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50万元</w:t>
            </w:r>
            <w:r>
              <w:rPr>
                <w:rFonts w:ascii="Times New Roman" w:hAnsi="Times New Roman" w:eastAsia="宋体" w:cs="Times New Roman"/>
                <w:kern w:val="0"/>
                <w:sz w:val="18"/>
                <w:szCs w:val="18"/>
              </w:rPr>
              <w:t>；强化冬虫夏草科技创新</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100万元</w:t>
            </w:r>
            <w:r>
              <w:rPr>
                <w:rFonts w:ascii="Times New Roman" w:hAnsi="Times New Roman" w:eastAsia="宋体" w:cs="Times New Roman"/>
                <w:kern w:val="0"/>
                <w:sz w:val="18"/>
                <w:szCs w:val="18"/>
              </w:rPr>
              <w:t>；探索冬虫夏草溯源，打造“昌都虫草”地理标志品牌</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100万元</w:t>
            </w:r>
            <w:r>
              <w:rPr>
                <w:rFonts w:hint="eastAsia"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3B8D06">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1E837">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C0294C">
            <w:pPr>
              <w:widowControl/>
              <w:jc w:val="center"/>
              <w:textAlignment w:val="center"/>
              <w:rPr>
                <w:rFonts w:ascii="Times New Roman" w:hAnsi="Times New Roman" w:eastAsia="宋体" w:cs="Times New Roman"/>
                <w:kern w:val="0"/>
                <w:sz w:val="18"/>
                <w:szCs w:val="18"/>
              </w:rPr>
            </w:pPr>
          </w:p>
        </w:tc>
      </w:tr>
      <w:tr w14:paraId="33C15D2A">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E08DAB">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52</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341D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草原生态旅游</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0BAA1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808BD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结合 “生态保护+文化体验+高端服务” 理念，促进草原生态旅游查产业的发展。如，开发草原露营地、草原赛马、草原徒步、草原研学、摄影；开展“草原生态修复实践课”；提供“牧场牧民体验”；选择基础较好的草原、退化草原生态修复区打造1-2个示范项目。</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6E60A2">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698CB1">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1600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D9E05">
            <w:pPr>
              <w:widowControl/>
              <w:jc w:val="center"/>
              <w:textAlignment w:val="center"/>
              <w:rPr>
                <w:rFonts w:ascii="Times New Roman" w:hAnsi="Times New Roman" w:eastAsia="宋体" w:cs="Times New Roman"/>
                <w:kern w:val="0"/>
                <w:sz w:val="18"/>
                <w:szCs w:val="18"/>
              </w:rPr>
            </w:pPr>
          </w:p>
        </w:tc>
      </w:tr>
      <w:tr w14:paraId="129436F2">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F2298">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53</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5DED8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草原监测信息化与监督智能化建设项目</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2EF2C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5B91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草原综合调查监测建设</w:t>
            </w:r>
            <w:r>
              <w:rPr>
                <w:rFonts w:hint="eastAsia" w:ascii="Times New Roman" w:hAnsi="Times New Roman" w:eastAsia="宋体" w:cs="Times New Roman"/>
                <w:kern w:val="0"/>
                <w:sz w:val="18"/>
                <w:szCs w:val="18"/>
              </w:rPr>
              <w:t>，包括草原资源调查、草原资源年度动态监测与评价</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val="en-US" w:eastAsia="zh-CN"/>
              </w:rPr>
              <w:t>1500万元</w:t>
            </w:r>
            <w:r>
              <w:rPr>
                <w:rFonts w:ascii="Times New Roman" w:hAnsi="Times New Roman" w:eastAsia="宋体" w:cs="Times New Roman"/>
                <w:kern w:val="0"/>
                <w:sz w:val="18"/>
                <w:szCs w:val="18"/>
              </w:rPr>
              <w:t>；“天空地 ”一体化林草监测预警体系建设</w:t>
            </w:r>
            <w:r>
              <w:rPr>
                <w:rFonts w:hint="eastAsia" w:ascii="Times New Roman" w:hAnsi="Times New Roman" w:eastAsia="宋体" w:cs="Times New Roman"/>
                <w:kern w:val="0"/>
                <w:sz w:val="18"/>
                <w:szCs w:val="18"/>
                <w:lang w:eastAsia="zh-CN"/>
              </w:rPr>
              <w:t>，投资</w:t>
            </w:r>
            <w:r>
              <w:rPr>
                <w:rFonts w:hint="eastAsia" w:ascii="Times New Roman" w:hAnsi="Times New Roman" w:eastAsia="宋体" w:cs="Times New Roman"/>
                <w:color w:val="1901FB"/>
                <w:kern w:val="0"/>
                <w:sz w:val="18"/>
                <w:szCs w:val="18"/>
                <w:lang w:val="en-US" w:eastAsia="zh-CN"/>
              </w:rPr>
              <w:t>3300万元</w:t>
            </w:r>
            <w:r>
              <w:rPr>
                <w:rFonts w:ascii="Times New Roman" w:hAnsi="Times New Roman" w:eastAsia="宋体" w:cs="Times New Roman"/>
                <w:kern w:val="0"/>
                <w:sz w:val="18"/>
                <w:szCs w:val="18"/>
              </w:rPr>
              <w:t>；“数字孪生”体系建设，试点1-2个县，再逐步推广至全市</w:t>
            </w:r>
            <w:r>
              <w:rPr>
                <w:rFonts w:hint="eastAsia" w:ascii="Times New Roman" w:hAnsi="Times New Roman" w:eastAsia="宋体" w:cs="Times New Roman"/>
                <w:kern w:val="0"/>
                <w:sz w:val="18"/>
                <w:szCs w:val="18"/>
                <w:lang w:eastAsia="zh-CN"/>
              </w:rPr>
              <w:t>，投资</w:t>
            </w:r>
            <w:r>
              <w:rPr>
                <w:rFonts w:hint="eastAsia" w:ascii="Times New Roman" w:hAnsi="Times New Roman" w:eastAsia="宋体" w:cs="Times New Roman"/>
                <w:color w:val="1901FB"/>
                <w:kern w:val="0"/>
                <w:sz w:val="18"/>
                <w:szCs w:val="18"/>
                <w:lang w:val="en-US" w:eastAsia="zh-CN"/>
              </w:rPr>
              <w:t>7000万元</w:t>
            </w:r>
            <w:r>
              <w:rPr>
                <w:rFonts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674F2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87E0A0">
            <w:pPr>
              <w:widowControl/>
              <w:jc w:val="center"/>
              <w:textAlignment w:val="center"/>
              <w:rPr>
                <w:rFonts w:hint="default"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11800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875D3">
            <w:pPr>
              <w:widowControl/>
              <w:jc w:val="center"/>
              <w:textAlignment w:val="center"/>
              <w:rPr>
                <w:rFonts w:ascii="Times New Roman" w:hAnsi="Times New Roman" w:eastAsia="宋体" w:cs="Times New Roman"/>
                <w:kern w:val="0"/>
                <w:sz w:val="18"/>
                <w:szCs w:val="18"/>
              </w:rPr>
            </w:pPr>
          </w:p>
        </w:tc>
      </w:tr>
      <w:tr w14:paraId="0A82248A">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5429A2">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54</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608D3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执法监督体系建设工程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D2B19">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0C1954">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补充草原执法监督专业人员，建立和完善县、乡镇和村三级草原执法监督与生态管护专业相结合的监督管理队伍。补充草原执法监督专业人员，建立和完善县、乡镇和村三级草原执法监督与生态管护专业相结合的监督管理队伍。</w:t>
            </w:r>
            <w:r>
              <w:rPr>
                <w:rFonts w:hint="eastAsia" w:ascii="Times New Roman" w:hAnsi="Times New Roman" w:eastAsia="宋体" w:cs="Times New Roman"/>
                <w:kern w:val="0"/>
                <w:sz w:val="18"/>
                <w:szCs w:val="18"/>
              </w:rPr>
              <w:t>每年组织 1 次执法培训，共组织 10 次</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100万元</w:t>
            </w:r>
            <w:r>
              <w:rPr>
                <w:rFonts w:hint="eastAsia" w:ascii="Times New Roman" w:hAnsi="Times New Roman" w:eastAsia="宋体" w:cs="Times New Roman"/>
                <w:kern w:val="0"/>
                <w:sz w:val="18"/>
                <w:szCs w:val="18"/>
              </w:rPr>
              <w:t>；为林草局采购执法监督设备，共采购11套</w:t>
            </w:r>
            <w:r>
              <w:rPr>
                <w:rFonts w:hint="eastAsia" w:ascii="Times New Roman" w:hAnsi="Times New Roman" w:eastAsia="宋体" w:cs="Times New Roman"/>
                <w:kern w:val="0"/>
                <w:sz w:val="18"/>
                <w:szCs w:val="18"/>
                <w:lang w:eastAsia="zh-CN"/>
              </w:rPr>
              <w:t>，</w:t>
            </w:r>
            <w:r>
              <w:rPr>
                <w:rFonts w:hint="eastAsia" w:ascii="Times New Roman" w:hAnsi="Times New Roman" w:eastAsia="宋体" w:cs="Times New Roman"/>
                <w:color w:val="1901FB"/>
                <w:kern w:val="0"/>
                <w:sz w:val="18"/>
                <w:szCs w:val="18"/>
                <w:lang w:eastAsia="zh-CN"/>
              </w:rPr>
              <w:t>投资</w:t>
            </w:r>
            <w:r>
              <w:rPr>
                <w:rFonts w:hint="eastAsia" w:ascii="Times New Roman" w:hAnsi="Times New Roman" w:eastAsia="宋体" w:cs="Times New Roman"/>
                <w:color w:val="1901FB"/>
                <w:kern w:val="0"/>
                <w:sz w:val="18"/>
                <w:szCs w:val="18"/>
                <w:lang w:val="en-US" w:eastAsia="zh-CN"/>
              </w:rPr>
              <w:t>110万元</w:t>
            </w:r>
            <w:r>
              <w:rPr>
                <w:rFonts w:hint="eastAsia" w:ascii="Times New Roman" w:hAnsi="Times New Roman" w:eastAsia="宋体" w:cs="Times New Roman"/>
                <w:kern w:val="0"/>
                <w:sz w:val="18"/>
                <w:szCs w:val="18"/>
              </w:rPr>
              <w:t>。</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60B7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F46BF">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210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B196ED">
            <w:pPr>
              <w:widowControl/>
              <w:jc w:val="center"/>
              <w:textAlignment w:val="center"/>
              <w:rPr>
                <w:rFonts w:ascii="Times New Roman" w:hAnsi="Times New Roman" w:eastAsia="宋体" w:cs="Times New Roman"/>
                <w:kern w:val="0"/>
                <w:sz w:val="18"/>
                <w:szCs w:val="18"/>
              </w:rPr>
            </w:pPr>
          </w:p>
        </w:tc>
      </w:tr>
      <w:tr w14:paraId="0F48690B">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7A2111">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55</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595515">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草原科技支撑能力提升建设工程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F57B83">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683EDF">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加强关键技术研发与示范，完善科技服务体系，加强人才培养与引进，推进标准化建设</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3365BA">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CB189">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600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CB6D5">
            <w:pPr>
              <w:widowControl/>
              <w:jc w:val="center"/>
              <w:textAlignment w:val="center"/>
              <w:rPr>
                <w:rFonts w:ascii="Times New Roman" w:hAnsi="Times New Roman" w:eastAsia="宋体" w:cs="Times New Roman"/>
                <w:kern w:val="0"/>
                <w:sz w:val="18"/>
                <w:szCs w:val="18"/>
              </w:rPr>
            </w:pPr>
          </w:p>
        </w:tc>
      </w:tr>
      <w:tr w14:paraId="53AD343B">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4E9EAE">
            <w:pPr>
              <w:widowControl/>
              <w:jc w:val="center"/>
              <w:textAlignment w:val="center"/>
              <w:rPr>
                <w:rFonts w:ascii="Times New Roman" w:hAnsi="Times New Roman" w:eastAsia="宋体" w:cs="Times New Roman"/>
                <w:sz w:val="18"/>
                <w:szCs w:val="18"/>
              </w:rPr>
            </w:pPr>
            <w:r>
              <w:rPr>
                <w:rFonts w:hint="eastAsia" w:ascii="Times New Roman" w:hAnsi="Times New Roman" w:eastAsia="宋体" w:cs="Times New Roman"/>
                <w:sz w:val="18"/>
                <w:szCs w:val="18"/>
              </w:rPr>
              <w:t>56</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0BEBFC">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草原灾害防控体系建设工程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6F0D18">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668513">
            <w:pPr>
              <w:widowControl/>
              <w:jc w:val="center"/>
              <w:textAlignment w:val="center"/>
              <w:rPr>
                <w:rFonts w:hint="default" w:ascii="Times New Roman" w:hAnsi="Times New Roman" w:eastAsia="宋体" w:cs="Times New Roman"/>
                <w:sz w:val="18"/>
                <w:szCs w:val="18"/>
                <w:lang w:val="en-US" w:eastAsia="zh-CN"/>
              </w:rPr>
            </w:pPr>
            <w:r>
              <w:rPr>
                <w:rFonts w:ascii="Times New Roman" w:hAnsi="Times New Roman" w:eastAsia="宋体" w:cs="Times New Roman"/>
                <w:kern w:val="0"/>
                <w:sz w:val="18"/>
                <w:szCs w:val="18"/>
              </w:rPr>
              <w:t>草原火灾防控体系建设工程（草原火险预警监测系统、草原防火通信系统、草原火险信息指挥系统、草火阻隔系统建设、草原防火能力建设）</w:t>
            </w:r>
            <w:r>
              <w:rPr>
                <w:rFonts w:hint="eastAsia" w:ascii="Times New Roman" w:hAnsi="Times New Roman" w:eastAsia="宋体" w:cs="Times New Roman"/>
                <w:color w:val="1901FB"/>
                <w:kern w:val="0"/>
                <w:sz w:val="18"/>
                <w:szCs w:val="18"/>
                <w:lang w:val="en-US" w:eastAsia="zh-CN"/>
              </w:rPr>
              <w:t>9200万元</w:t>
            </w:r>
            <w:r>
              <w:rPr>
                <w:rFonts w:ascii="Times New Roman" w:hAnsi="Times New Roman" w:eastAsia="宋体" w:cs="Times New Roman"/>
                <w:kern w:val="0"/>
                <w:sz w:val="18"/>
                <w:szCs w:val="18"/>
              </w:rPr>
              <w:t>、草原有害生物与自然灾害防治工程（监测预警体系建设、鼠虫病害防治物资储备点）</w:t>
            </w:r>
            <w:r>
              <w:rPr>
                <w:rFonts w:hint="eastAsia" w:ascii="Times New Roman" w:hAnsi="Times New Roman" w:eastAsia="宋体" w:cs="Times New Roman"/>
                <w:color w:val="1901FB"/>
                <w:kern w:val="0"/>
                <w:sz w:val="18"/>
                <w:szCs w:val="18"/>
                <w:lang w:val="en-US" w:eastAsia="zh-CN"/>
              </w:rPr>
              <w:t>50万元</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7E14A7">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A6FCE3">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9250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876F5">
            <w:pPr>
              <w:widowControl/>
              <w:jc w:val="center"/>
              <w:textAlignment w:val="center"/>
              <w:rPr>
                <w:rFonts w:ascii="Times New Roman" w:hAnsi="Times New Roman" w:eastAsia="宋体" w:cs="Times New Roman"/>
                <w:kern w:val="0"/>
                <w:sz w:val="18"/>
                <w:szCs w:val="18"/>
              </w:rPr>
            </w:pPr>
          </w:p>
        </w:tc>
      </w:tr>
      <w:tr w14:paraId="0D30067E">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A58B0">
            <w:pPr>
              <w:widowControl/>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57</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50F642">
            <w:pPr>
              <w:widowControl/>
              <w:jc w:val="center"/>
              <w:textAlignment w:val="center"/>
              <w:rPr>
                <w:rFonts w:hint="eastAsia" w:ascii="Times New Roman" w:hAnsi="Times New Roman" w:eastAsia="宋体" w:cs="Times New Roman"/>
                <w:kern w:val="0"/>
                <w:sz w:val="18"/>
                <w:szCs w:val="18"/>
                <w:lang w:eastAsia="zh-CN"/>
              </w:rPr>
            </w:pPr>
            <w:r>
              <w:rPr>
                <w:rFonts w:hint="eastAsia" w:ascii="Times New Roman" w:hAnsi="Times New Roman" w:eastAsia="宋体" w:cs="Times New Roman"/>
                <w:kern w:val="0"/>
                <w:sz w:val="18"/>
                <w:szCs w:val="18"/>
                <w:lang w:eastAsia="zh-CN"/>
              </w:rPr>
              <w:t>草原基层能力建设工程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99C1C4">
            <w:pPr>
              <w:widowControl/>
              <w:jc w:val="center"/>
              <w:textAlignment w:val="center"/>
              <w:rPr>
                <w:rFonts w:hint="eastAsia" w:ascii="Times New Roman" w:hAnsi="Times New Roman" w:eastAsia="宋体" w:cs="Times New Roman"/>
                <w:kern w:val="0"/>
                <w:sz w:val="18"/>
                <w:szCs w:val="18"/>
                <w:lang w:eastAsia="zh-CN"/>
              </w:rPr>
            </w:pPr>
            <w:r>
              <w:rPr>
                <w:rFonts w:hint="eastAsia" w:ascii="Times New Roman" w:hAnsi="Times New Roman" w:eastAsia="宋体" w:cs="Times New Roman"/>
                <w:kern w:val="0"/>
                <w:sz w:val="18"/>
                <w:szCs w:val="18"/>
                <w:lang w:eastAsia="zh-CN"/>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5241EC">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基层草原管理人员、管护员业务培训</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AA51BD">
            <w:pPr>
              <w:widowControl/>
              <w:jc w:val="center"/>
              <w:textAlignment w:val="center"/>
              <w:rPr>
                <w:rFonts w:hint="default"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86398F">
            <w:pPr>
              <w:widowControl/>
              <w:jc w:val="center"/>
              <w:textAlignment w:val="center"/>
              <w:rPr>
                <w:rFonts w:hint="default"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AD78C8">
            <w:pPr>
              <w:widowControl/>
              <w:jc w:val="center"/>
              <w:textAlignment w:val="center"/>
              <w:rPr>
                <w:rFonts w:ascii="Times New Roman" w:hAnsi="Times New Roman" w:eastAsia="宋体" w:cs="Times New Roman"/>
                <w:kern w:val="0"/>
                <w:sz w:val="18"/>
                <w:szCs w:val="18"/>
              </w:rPr>
            </w:pPr>
          </w:p>
        </w:tc>
      </w:tr>
      <w:tr w14:paraId="02C50FA8">
        <w:tblPrEx>
          <w:tblCellMar>
            <w:top w:w="0" w:type="dxa"/>
            <w:left w:w="0" w:type="dxa"/>
            <w:bottom w:w="0" w:type="dxa"/>
            <w:right w:w="0" w:type="dxa"/>
          </w:tblCellMar>
        </w:tblPrEx>
        <w:trPr>
          <w:trHeight w:val="285" w:hRule="atLeast"/>
        </w:trPr>
        <w:tc>
          <w:tcPr>
            <w:tcW w:w="36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323B5">
            <w:pPr>
              <w:widowControl/>
              <w:jc w:val="center"/>
              <w:textAlignment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rPr>
              <w:t>5</w:t>
            </w:r>
            <w:r>
              <w:rPr>
                <w:rFonts w:hint="eastAsia" w:ascii="Times New Roman" w:hAnsi="Times New Roman" w:eastAsia="宋体" w:cs="Times New Roman"/>
                <w:sz w:val="18"/>
                <w:szCs w:val="18"/>
                <w:lang w:val="en-US" w:eastAsia="zh-CN"/>
              </w:rPr>
              <w:t>8</w:t>
            </w:r>
          </w:p>
        </w:tc>
        <w:tc>
          <w:tcPr>
            <w:tcW w:w="15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7B826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生态价值转换机制建设工程</w:t>
            </w:r>
          </w:p>
        </w:tc>
        <w:tc>
          <w:tcPr>
            <w:tcW w:w="4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15CFFD">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新建</w:t>
            </w:r>
          </w:p>
        </w:tc>
        <w:tc>
          <w:tcPr>
            <w:tcW w:w="349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DD6DC">
            <w:pPr>
              <w:widowControl/>
              <w:jc w:val="center"/>
              <w:textAlignment w:val="center"/>
              <w:rPr>
                <w:rFonts w:hint="default" w:ascii="Times New Roman" w:hAnsi="Times New Roman" w:eastAsia="宋体" w:cs="Times New Roman"/>
                <w:sz w:val="18"/>
                <w:szCs w:val="18"/>
                <w:lang w:val="en-US" w:eastAsia="zh-CN"/>
              </w:rPr>
            </w:pPr>
            <w:r>
              <w:rPr>
                <w:rFonts w:ascii="Times New Roman" w:hAnsi="Times New Roman" w:eastAsia="宋体" w:cs="Times New Roman"/>
                <w:color w:val="auto"/>
                <w:kern w:val="0"/>
                <w:sz w:val="18"/>
                <w:szCs w:val="18"/>
              </w:rPr>
              <w:t>包括生态产品调查监测</w:t>
            </w:r>
            <w:r>
              <w:rPr>
                <w:rFonts w:hint="eastAsia" w:ascii="Times New Roman" w:hAnsi="Times New Roman" w:eastAsia="宋体" w:cs="Times New Roman"/>
                <w:color w:val="1901FB"/>
                <w:kern w:val="0"/>
                <w:sz w:val="18"/>
                <w:szCs w:val="18"/>
                <w:lang w:val="en-US" w:eastAsia="zh-CN"/>
              </w:rPr>
              <w:t>900万元</w:t>
            </w:r>
            <w:r>
              <w:rPr>
                <w:rFonts w:ascii="Times New Roman" w:hAnsi="Times New Roman" w:eastAsia="宋体" w:cs="Times New Roman"/>
                <w:color w:val="auto"/>
                <w:kern w:val="0"/>
                <w:sz w:val="18"/>
                <w:szCs w:val="18"/>
              </w:rPr>
              <w:t>、生态产品价值核算</w:t>
            </w:r>
            <w:r>
              <w:rPr>
                <w:rFonts w:hint="eastAsia" w:ascii="Times New Roman" w:hAnsi="Times New Roman" w:eastAsia="宋体" w:cs="Times New Roman"/>
                <w:color w:val="1901FB"/>
                <w:kern w:val="0"/>
                <w:sz w:val="18"/>
                <w:szCs w:val="18"/>
                <w:lang w:val="en-US" w:eastAsia="zh-CN"/>
              </w:rPr>
              <w:t>200万元</w:t>
            </w:r>
            <w:r>
              <w:rPr>
                <w:rFonts w:ascii="Times New Roman" w:hAnsi="Times New Roman" w:eastAsia="宋体" w:cs="Times New Roman"/>
                <w:color w:val="auto"/>
                <w:kern w:val="0"/>
                <w:sz w:val="18"/>
                <w:szCs w:val="18"/>
              </w:rPr>
              <w:t>、生态产品交易中心建设</w:t>
            </w:r>
            <w:r>
              <w:rPr>
                <w:rFonts w:hint="eastAsia" w:ascii="Times New Roman" w:hAnsi="Times New Roman" w:eastAsia="宋体" w:cs="Times New Roman"/>
                <w:color w:val="1901FB"/>
                <w:kern w:val="0"/>
                <w:sz w:val="18"/>
                <w:szCs w:val="18"/>
                <w:lang w:val="en-US" w:eastAsia="zh-CN"/>
              </w:rPr>
              <w:t>300万元</w:t>
            </w:r>
          </w:p>
        </w:tc>
        <w:tc>
          <w:tcPr>
            <w:tcW w:w="9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7A77E">
            <w:pPr>
              <w:widowControl/>
              <w:jc w:val="center"/>
              <w:textAlignment w:val="center"/>
              <w:rPr>
                <w:rFonts w:ascii="Times New Roman" w:hAnsi="Times New Roman" w:eastAsia="宋体" w:cs="Times New Roman"/>
                <w:sz w:val="18"/>
                <w:szCs w:val="18"/>
              </w:rPr>
            </w:pPr>
            <w:r>
              <w:rPr>
                <w:rFonts w:ascii="Times New Roman" w:hAnsi="Times New Roman" w:eastAsia="宋体" w:cs="Times New Roman"/>
                <w:kern w:val="0"/>
                <w:sz w:val="18"/>
                <w:szCs w:val="18"/>
              </w:rPr>
              <w:t>2026-2035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C1824">
            <w:pPr>
              <w:widowControl/>
              <w:jc w:val="center"/>
              <w:textAlignment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1400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08A8B7">
            <w:pPr>
              <w:widowControl/>
              <w:jc w:val="center"/>
              <w:textAlignment w:val="center"/>
              <w:rPr>
                <w:rFonts w:ascii="Times New Roman" w:hAnsi="Times New Roman" w:eastAsia="宋体" w:cs="Times New Roman"/>
                <w:kern w:val="0"/>
                <w:sz w:val="18"/>
                <w:szCs w:val="18"/>
              </w:rPr>
            </w:pPr>
          </w:p>
        </w:tc>
      </w:tr>
    </w:tbl>
    <w:p w14:paraId="5B9E65CA">
      <w:pPr>
        <w:spacing w:line="360" w:lineRule="auto"/>
        <w:contextualSpacing/>
        <w:rPr>
          <w:rFonts w:ascii="Times New Roman" w:hAnsi="Times New Roman" w:eastAsia="宋体" w:cs="Times New Roman"/>
          <w:sz w:val="24"/>
          <w:szCs w:val="24"/>
        </w:rPr>
        <w:sectPr>
          <w:footerReference r:id="rId8" w:type="default"/>
          <w:pgSz w:w="11906" w:h="16838"/>
          <w:pgMar w:top="1440" w:right="1800" w:bottom="1440" w:left="1800" w:header="851" w:footer="992" w:gutter="0"/>
          <w:pgNumType w:fmt="decimal"/>
          <w:cols w:space="425" w:num="1"/>
          <w:docGrid w:type="lines" w:linePitch="312" w:charSpace="0"/>
        </w:sectPr>
      </w:pPr>
    </w:p>
    <w:p w14:paraId="2DCC43CE">
      <w:pPr>
        <w:spacing w:line="360" w:lineRule="auto"/>
        <w:jc w:val="center"/>
        <w:rPr>
          <w:rFonts w:ascii="Times New Roman" w:hAnsi="Times New Roman" w:eastAsia="黑体" w:cs="Times New Roman"/>
          <w:sz w:val="24"/>
          <w:szCs w:val="21"/>
        </w:rPr>
      </w:pPr>
      <w:r>
        <w:rPr>
          <w:rFonts w:hint="eastAsia" w:ascii="Times New Roman" w:hAnsi="Times New Roman" w:eastAsia="黑体" w:cs="Times New Roman"/>
          <w:sz w:val="24"/>
          <w:szCs w:val="21"/>
        </w:rPr>
        <w:t>附表2   昌都市草原生态保护修复与草业发展规划投资估算与时间安排表</w:t>
      </w:r>
    </w:p>
    <w:tbl>
      <w:tblPr>
        <w:tblStyle w:val="24"/>
        <w:tblW w:w="14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7"/>
        <w:gridCol w:w="3246"/>
        <w:gridCol w:w="1327"/>
        <w:gridCol w:w="1264"/>
        <w:gridCol w:w="1334"/>
        <w:gridCol w:w="1"/>
        <w:gridCol w:w="1151"/>
        <w:gridCol w:w="1"/>
        <w:gridCol w:w="991"/>
        <w:gridCol w:w="1"/>
        <w:gridCol w:w="1212"/>
        <w:gridCol w:w="1"/>
        <w:gridCol w:w="1"/>
        <w:gridCol w:w="911"/>
        <w:gridCol w:w="961"/>
        <w:gridCol w:w="1"/>
        <w:gridCol w:w="1"/>
        <w:gridCol w:w="953"/>
        <w:gridCol w:w="1"/>
        <w:gridCol w:w="1"/>
      </w:tblGrid>
      <w:tr w14:paraId="70AF7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2"/>
          <w:wAfter w:w="2" w:type="dxa"/>
          <w:trHeight w:val="270" w:hRule="atLeast"/>
        </w:trPr>
        <w:tc>
          <w:tcPr>
            <w:tcW w:w="697" w:type="dxa"/>
            <w:vMerge w:val="restart"/>
            <w:shd w:val="clear" w:color="auto" w:fill="auto"/>
            <w:noWrap/>
            <w:tcMar>
              <w:top w:w="15" w:type="dxa"/>
              <w:left w:w="15" w:type="dxa"/>
              <w:right w:w="15" w:type="dxa"/>
            </w:tcMar>
            <w:vAlign w:val="center"/>
          </w:tcPr>
          <w:p w14:paraId="4410123E">
            <w:pPr>
              <w:widowControl/>
              <w:jc w:val="center"/>
              <w:textAlignment w:val="center"/>
              <w:rPr>
                <w:rFonts w:ascii="Times New Roman" w:hAnsi="Times New Roman" w:eastAsia="宋体" w:cs="Times New Roman"/>
                <w:sz w:val="20"/>
                <w:szCs w:val="20"/>
              </w:rPr>
            </w:pPr>
            <w:r>
              <w:rPr>
                <w:rStyle w:val="53"/>
                <w:rFonts w:hint="default"/>
                <w:color w:val="auto"/>
              </w:rPr>
              <w:t>序号</w:t>
            </w:r>
          </w:p>
        </w:tc>
        <w:tc>
          <w:tcPr>
            <w:tcW w:w="3246" w:type="dxa"/>
            <w:vMerge w:val="restart"/>
            <w:shd w:val="clear" w:color="auto" w:fill="auto"/>
            <w:noWrap/>
            <w:tcMar>
              <w:top w:w="15" w:type="dxa"/>
              <w:left w:w="15" w:type="dxa"/>
              <w:right w:w="15" w:type="dxa"/>
            </w:tcMar>
            <w:vAlign w:val="center"/>
          </w:tcPr>
          <w:p w14:paraId="5BC33909">
            <w:pPr>
              <w:widowControl/>
              <w:jc w:val="center"/>
              <w:textAlignment w:val="center"/>
              <w:rPr>
                <w:rFonts w:ascii="Times New Roman" w:hAnsi="Times New Roman" w:eastAsia="宋体" w:cs="Times New Roman"/>
                <w:sz w:val="20"/>
                <w:szCs w:val="20"/>
              </w:rPr>
            </w:pPr>
            <w:r>
              <w:rPr>
                <w:rStyle w:val="53"/>
                <w:rFonts w:hint="default"/>
                <w:color w:val="auto"/>
              </w:rPr>
              <w:t>名称</w:t>
            </w:r>
          </w:p>
        </w:tc>
        <w:tc>
          <w:tcPr>
            <w:tcW w:w="1327" w:type="dxa"/>
            <w:vMerge w:val="restart"/>
            <w:shd w:val="clear" w:color="auto" w:fill="auto"/>
            <w:noWrap/>
            <w:tcMar>
              <w:top w:w="15" w:type="dxa"/>
              <w:left w:w="15" w:type="dxa"/>
              <w:right w:w="15" w:type="dxa"/>
            </w:tcMar>
            <w:vAlign w:val="center"/>
          </w:tcPr>
          <w:p w14:paraId="084FBC6B">
            <w:pPr>
              <w:widowControl/>
              <w:jc w:val="center"/>
              <w:textAlignment w:val="center"/>
              <w:rPr>
                <w:rFonts w:ascii="Times New Roman" w:hAnsi="Times New Roman" w:eastAsia="宋体" w:cs="Times New Roman"/>
                <w:sz w:val="20"/>
                <w:szCs w:val="20"/>
              </w:rPr>
            </w:pPr>
            <w:r>
              <w:rPr>
                <w:rStyle w:val="53"/>
                <w:rFonts w:hint="default"/>
                <w:color w:val="auto"/>
              </w:rPr>
              <w:t>单位</w:t>
            </w:r>
          </w:p>
        </w:tc>
        <w:tc>
          <w:tcPr>
            <w:tcW w:w="1264" w:type="dxa"/>
            <w:vMerge w:val="restart"/>
            <w:shd w:val="clear" w:color="auto" w:fill="auto"/>
            <w:noWrap/>
            <w:tcMar>
              <w:top w:w="15" w:type="dxa"/>
              <w:left w:w="15" w:type="dxa"/>
              <w:right w:w="15" w:type="dxa"/>
            </w:tcMar>
            <w:vAlign w:val="center"/>
          </w:tcPr>
          <w:p w14:paraId="0B3409BA">
            <w:pPr>
              <w:widowControl/>
              <w:jc w:val="center"/>
              <w:textAlignment w:val="center"/>
              <w:rPr>
                <w:rFonts w:ascii="Times New Roman" w:hAnsi="Times New Roman" w:eastAsia="宋体" w:cs="Times New Roman"/>
                <w:sz w:val="20"/>
                <w:szCs w:val="20"/>
              </w:rPr>
            </w:pPr>
            <w:r>
              <w:rPr>
                <w:rStyle w:val="53"/>
                <w:rFonts w:hint="default"/>
                <w:color w:val="auto"/>
              </w:rPr>
              <w:t>数量</w:t>
            </w:r>
          </w:p>
        </w:tc>
        <w:tc>
          <w:tcPr>
            <w:tcW w:w="1334" w:type="dxa"/>
            <w:vMerge w:val="restart"/>
            <w:shd w:val="clear" w:color="auto" w:fill="auto"/>
            <w:noWrap/>
            <w:tcMar>
              <w:top w:w="15" w:type="dxa"/>
              <w:left w:w="15" w:type="dxa"/>
              <w:right w:w="15" w:type="dxa"/>
            </w:tcMar>
            <w:vAlign w:val="center"/>
          </w:tcPr>
          <w:p w14:paraId="68289805">
            <w:pPr>
              <w:widowControl/>
              <w:jc w:val="center"/>
              <w:textAlignment w:val="center"/>
              <w:rPr>
                <w:rStyle w:val="53"/>
                <w:rFonts w:hint="default"/>
                <w:color w:val="auto"/>
              </w:rPr>
            </w:pPr>
            <w:r>
              <w:rPr>
                <w:rStyle w:val="53"/>
                <w:rFonts w:hint="default"/>
                <w:color w:val="auto"/>
              </w:rPr>
              <w:t>单价</w:t>
            </w:r>
          </w:p>
          <w:p w14:paraId="443FE298">
            <w:pPr>
              <w:widowControl/>
              <w:jc w:val="center"/>
              <w:textAlignment w:val="center"/>
              <w:rPr>
                <w:rFonts w:ascii="Times New Roman" w:hAnsi="Times New Roman" w:eastAsia="宋体" w:cs="Times New Roman"/>
                <w:sz w:val="20"/>
                <w:szCs w:val="20"/>
              </w:rPr>
            </w:pPr>
            <w:r>
              <w:rPr>
                <w:rStyle w:val="53"/>
                <w:rFonts w:hint="default"/>
                <w:color w:val="auto"/>
              </w:rPr>
              <w:t>（元）</w:t>
            </w:r>
          </w:p>
        </w:tc>
        <w:tc>
          <w:tcPr>
            <w:tcW w:w="1152" w:type="dxa"/>
            <w:gridSpan w:val="2"/>
            <w:vMerge w:val="restart"/>
            <w:shd w:val="clear" w:color="auto" w:fill="auto"/>
            <w:noWrap/>
            <w:tcMar>
              <w:top w:w="15" w:type="dxa"/>
              <w:left w:w="15" w:type="dxa"/>
              <w:right w:w="15" w:type="dxa"/>
            </w:tcMar>
            <w:vAlign w:val="center"/>
          </w:tcPr>
          <w:p w14:paraId="49BDDD73">
            <w:pPr>
              <w:widowControl/>
              <w:jc w:val="center"/>
              <w:textAlignment w:val="center"/>
              <w:rPr>
                <w:rStyle w:val="53"/>
                <w:rFonts w:hint="default"/>
                <w:color w:val="auto"/>
              </w:rPr>
            </w:pPr>
            <w:r>
              <w:rPr>
                <w:rStyle w:val="53"/>
                <w:rFonts w:hint="default"/>
                <w:color w:val="auto"/>
              </w:rPr>
              <w:t>投资</w:t>
            </w:r>
          </w:p>
          <w:p w14:paraId="2F3A596E">
            <w:pPr>
              <w:widowControl/>
              <w:jc w:val="center"/>
              <w:textAlignment w:val="center"/>
              <w:rPr>
                <w:rFonts w:ascii="Times New Roman" w:hAnsi="Times New Roman" w:eastAsia="宋体" w:cs="Times New Roman"/>
                <w:sz w:val="20"/>
                <w:szCs w:val="20"/>
              </w:rPr>
            </w:pPr>
            <w:r>
              <w:rPr>
                <w:rStyle w:val="53"/>
                <w:rFonts w:hint="default"/>
                <w:color w:val="auto"/>
              </w:rPr>
              <w:t>（万元）</w:t>
            </w:r>
          </w:p>
        </w:tc>
        <w:tc>
          <w:tcPr>
            <w:tcW w:w="4079" w:type="dxa"/>
            <w:gridSpan w:val="8"/>
            <w:shd w:val="clear" w:color="auto" w:fill="auto"/>
            <w:noWrap/>
            <w:tcMar>
              <w:top w:w="15" w:type="dxa"/>
              <w:left w:w="15" w:type="dxa"/>
              <w:right w:w="15" w:type="dxa"/>
            </w:tcMar>
            <w:vAlign w:val="center"/>
          </w:tcPr>
          <w:p w14:paraId="59A55D03">
            <w:pPr>
              <w:widowControl/>
              <w:jc w:val="center"/>
              <w:textAlignment w:val="center"/>
              <w:rPr>
                <w:rFonts w:ascii="Times New Roman" w:hAnsi="Times New Roman" w:eastAsia="宋体" w:cs="Times New Roman"/>
                <w:sz w:val="20"/>
                <w:szCs w:val="20"/>
              </w:rPr>
            </w:pPr>
            <w:r>
              <w:rPr>
                <w:rStyle w:val="53"/>
                <w:rFonts w:hint="default"/>
                <w:color w:val="auto"/>
              </w:rPr>
              <w:t>建设期限</w:t>
            </w:r>
          </w:p>
        </w:tc>
        <w:tc>
          <w:tcPr>
            <w:tcW w:w="955" w:type="dxa"/>
            <w:gridSpan w:val="3"/>
            <w:shd w:val="clear" w:color="auto" w:fill="auto"/>
            <w:noWrap/>
            <w:tcMar>
              <w:top w:w="15" w:type="dxa"/>
              <w:left w:w="15" w:type="dxa"/>
              <w:right w:w="15" w:type="dxa"/>
            </w:tcMar>
            <w:vAlign w:val="center"/>
          </w:tcPr>
          <w:p w14:paraId="5E7A46B7">
            <w:pPr>
              <w:widowControl/>
              <w:jc w:val="center"/>
              <w:textAlignment w:val="center"/>
              <w:rPr>
                <w:rStyle w:val="53"/>
                <w:rFonts w:hint="default"/>
                <w:color w:val="auto"/>
              </w:rPr>
            </w:pPr>
          </w:p>
        </w:tc>
      </w:tr>
      <w:tr w14:paraId="5D03B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2"/>
          <w:wAfter w:w="2" w:type="dxa"/>
          <w:trHeight w:val="270" w:hRule="atLeast"/>
        </w:trPr>
        <w:tc>
          <w:tcPr>
            <w:tcW w:w="697" w:type="dxa"/>
            <w:vMerge w:val="continue"/>
            <w:shd w:val="clear" w:color="auto" w:fill="auto"/>
            <w:noWrap/>
            <w:tcMar>
              <w:top w:w="15" w:type="dxa"/>
              <w:left w:w="15" w:type="dxa"/>
              <w:right w:w="15" w:type="dxa"/>
            </w:tcMar>
            <w:vAlign w:val="center"/>
          </w:tcPr>
          <w:p w14:paraId="3FD55584">
            <w:pPr>
              <w:jc w:val="center"/>
              <w:rPr>
                <w:rFonts w:ascii="Times New Roman" w:hAnsi="Times New Roman" w:eastAsia="宋体" w:cs="Times New Roman"/>
                <w:sz w:val="20"/>
                <w:szCs w:val="20"/>
              </w:rPr>
            </w:pPr>
          </w:p>
        </w:tc>
        <w:tc>
          <w:tcPr>
            <w:tcW w:w="3246" w:type="dxa"/>
            <w:vMerge w:val="continue"/>
            <w:shd w:val="clear" w:color="auto" w:fill="auto"/>
            <w:noWrap/>
            <w:tcMar>
              <w:top w:w="15" w:type="dxa"/>
              <w:left w:w="15" w:type="dxa"/>
              <w:right w:w="15" w:type="dxa"/>
            </w:tcMar>
            <w:vAlign w:val="center"/>
          </w:tcPr>
          <w:p w14:paraId="0F55851A">
            <w:pPr>
              <w:jc w:val="center"/>
              <w:rPr>
                <w:rFonts w:ascii="Times New Roman" w:hAnsi="Times New Roman" w:eastAsia="宋体" w:cs="Times New Roman"/>
                <w:sz w:val="20"/>
                <w:szCs w:val="20"/>
              </w:rPr>
            </w:pPr>
          </w:p>
        </w:tc>
        <w:tc>
          <w:tcPr>
            <w:tcW w:w="1327" w:type="dxa"/>
            <w:vMerge w:val="continue"/>
            <w:shd w:val="clear" w:color="auto" w:fill="auto"/>
            <w:noWrap/>
            <w:tcMar>
              <w:top w:w="15" w:type="dxa"/>
              <w:left w:w="15" w:type="dxa"/>
              <w:right w:w="15" w:type="dxa"/>
            </w:tcMar>
            <w:vAlign w:val="center"/>
          </w:tcPr>
          <w:p w14:paraId="7DD0042F">
            <w:pPr>
              <w:jc w:val="center"/>
              <w:rPr>
                <w:rFonts w:ascii="Times New Roman" w:hAnsi="Times New Roman" w:eastAsia="宋体" w:cs="Times New Roman"/>
                <w:sz w:val="20"/>
                <w:szCs w:val="20"/>
              </w:rPr>
            </w:pPr>
          </w:p>
        </w:tc>
        <w:tc>
          <w:tcPr>
            <w:tcW w:w="1264" w:type="dxa"/>
            <w:vMerge w:val="continue"/>
            <w:shd w:val="clear" w:color="auto" w:fill="auto"/>
            <w:noWrap/>
            <w:tcMar>
              <w:top w:w="15" w:type="dxa"/>
              <w:left w:w="15" w:type="dxa"/>
              <w:right w:w="15" w:type="dxa"/>
            </w:tcMar>
            <w:vAlign w:val="center"/>
          </w:tcPr>
          <w:p w14:paraId="0E5D98FB">
            <w:pPr>
              <w:jc w:val="center"/>
              <w:rPr>
                <w:rFonts w:ascii="Times New Roman" w:hAnsi="Times New Roman" w:eastAsia="宋体" w:cs="Times New Roman"/>
                <w:sz w:val="20"/>
                <w:szCs w:val="20"/>
              </w:rPr>
            </w:pPr>
          </w:p>
        </w:tc>
        <w:tc>
          <w:tcPr>
            <w:tcW w:w="1334" w:type="dxa"/>
            <w:vMerge w:val="continue"/>
            <w:shd w:val="clear" w:color="auto" w:fill="auto"/>
            <w:noWrap/>
            <w:tcMar>
              <w:top w:w="15" w:type="dxa"/>
              <w:left w:w="15" w:type="dxa"/>
              <w:right w:w="15" w:type="dxa"/>
            </w:tcMar>
            <w:vAlign w:val="center"/>
          </w:tcPr>
          <w:p w14:paraId="7F77BF97">
            <w:pPr>
              <w:jc w:val="center"/>
              <w:rPr>
                <w:rFonts w:ascii="Times New Roman" w:hAnsi="Times New Roman" w:eastAsia="宋体" w:cs="Times New Roman"/>
                <w:sz w:val="20"/>
                <w:szCs w:val="20"/>
              </w:rPr>
            </w:pPr>
          </w:p>
        </w:tc>
        <w:tc>
          <w:tcPr>
            <w:tcW w:w="1152" w:type="dxa"/>
            <w:gridSpan w:val="2"/>
            <w:vMerge w:val="continue"/>
            <w:shd w:val="clear" w:color="auto" w:fill="auto"/>
            <w:noWrap/>
            <w:tcMar>
              <w:top w:w="15" w:type="dxa"/>
              <w:left w:w="15" w:type="dxa"/>
              <w:right w:w="15" w:type="dxa"/>
            </w:tcMar>
            <w:vAlign w:val="center"/>
          </w:tcPr>
          <w:p w14:paraId="2221E126">
            <w:pPr>
              <w:jc w:val="center"/>
              <w:rPr>
                <w:rFonts w:ascii="Times New Roman" w:hAnsi="Times New Roman" w:eastAsia="宋体" w:cs="Times New Roman"/>
                <w:sz w:val="20"/>
                <w:szCs w:val="20"/>
              </w:rPr>
            </w:pPr>
          </w:p>
        </w:tc>
        <w:tc>
          <w:tcPr>
            <w:tcW w:w="2205" w:type="dxa"/>
            <w:gridSpan w:val="4"/>
            <w:shd w:val="clear" w:color="auto" w:fill="auto"/>
            <w:noWrap/>
            <w:tcMar>
              <w:top w:w="15" w:type="dxa"/>
              <w:left w:w="15" w:type="dxa"/>
              <w:right w:w="15" w:type="dxa"/>
            </w:tcMar>
            <w:vAlign w:val="center"/>
          </w:tcPr>
          <w:p w14:paraId="7ACB26BB">
            <w:pPr>
              <w:jc w:val="center"/>
              <w:rPr>
                <w:rFonts w:ascii="Times New Roman" w:hAnsi="Times New Roman" w:eastAsia="宋体" w:cs="Times New Roman"/>
                <w:sz w:val="20"/>
                <w:szCs w:val="20"/>
              </w:rPr>
            </w:pPr>
            <w:r>
              <w:rPr>
                <w:rStyle w:val="53"/>
                <w:rFonts w:hint="default"/>
                <w:color w:val="auto"/>
              </w:rPr>
              <w:t>近期（</w:t>
            </w:r>
            <w:r>
              <w:rPr>
                <w:rStyle w:val="54"/>
                <w:rFonts w:eastAsia="宋体"/>
                <w:color w:val="auto"/>
              </w:rPr>
              <w:t>2026-2030</w:t>
            </w:r>
            <w:r>
              <w:rPr>
                <w:rStyle w:val="53"/>
                <w:rFonts w:hint="default"/>
                <w:color w:val="auto"/>
              </w:rPr>
              <w:t>年）</w:t>
            </w:r>
          </w:p>
        </w:tc>
        <w:tc>
          <w:tcPr>
            <w:tcW w:w="1874" w:type="dxa"/>
            <w:gridSpan w:val="4"/>
            <w:shd w:val="clear" w:color="auto" w:fill="auto"/>
            <w:noWrap/>
            <w:tcMar>
              <w:top w:w="15" w:type="dxa"/>
              <w:left w:w="15" w:type="dxa"/>
              <w:right w:w="15" w:type="dxa"/>
            </w:tcMar>
            <w:vAlign w:val="center"/>
          </w:tcPr>
          <w:p w14:paraId="51DA3B35">
            <w:pPr>
              <w:jc w:val="center"/>
              <w:rPr>
                <w:rFonts w:ascii="Times New Roman" w:hAnsi="Times New Roman" w:eastAsia="宋体" w:cs="Times New Roman"/>
                <w:sz w:val="20"/>
                <w:szCs w:val="20"/>
              </w:rPr>
            </w:pPr>
            <w:r>
              <w:rPr>
                <w:rStyle w:val="53"/>
                <w:rFonts w:hint="default"/>
                <w:color w:val="auto"/>
              </w:rPr>
              <w:t>远期（</w:t>
            </w:r>
            <w:r>
              <w:rPr>
                <w:rStyle w:val="54"/>
                <w:rFonts w:eastAsia="宋体"/>
                <w:color w:val="auto"/>
              </w:rPr>
              <w:t>2031-2035</w:t>
            </w:r>
            <w:r>
              <w:rPr>
                <w:rStyle w:val="53"/>
                <w:rFonts w:hint="default"/>
                <w:color w:val="auto"/>
              </w:rPr>
              <w:t>年）</w:t>
            </w:r>
          </w:p>
        </w:tc>
        <w:tc>
          <w:tcPr>
            <w:tcW w:w="955" w:type="dxa"/>
            <w:gridSpan w:val="3"/>
            <w:shd w:val="clear" w:color="auto" w:fill="auto"/>
            <w:noWrap/>
            <w:tcMar>
              <w:top w:w="15" w:type="dxa"/>
              <w:left w:w="15" w:type="dxa"/>
              <w:right w:w="15" w:type="dxa"/>
            </w:tcMar>
            <w:vAlign w:val="center"/>
          </w:tcPr>
          <w:p w14:paraId="43D93B23">
            <w:pPr>
              <w:jc w:val="center"/>
              <w:rPr>
                <w:rStyle w:val="53"/>
                <w:rFonts w:hint="default"/>
                <w:color w:val="auto"/>
              </w:rPr>
            </w:pPr>
          </w:p>
        </w:tc>
      </w:tr>
      <w:tr w14:paraId="03ADA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vMerge w:val="continue"/>
            <w:shd w:val="clear" w:color="auto" w:fill="auto"/>
            <w:noWrap/>
            <w:tcMar>
              <w:top w:w="15" w:type="dxa"/>
              <w:left w:w="15" w:type="dxa"/>
              <w:right w:w="15" w:type="dxa"/>
            </w:tcMar>
            <w:vAlign w:val="center"/>
          </w:tcPr>
          <w:p w14:paraId="708AD569">
            <w:pPr>
              <w:jc w:val="center"/>
              <w:rPr>
                <w:rFonts w:ascii="Times New Roman" w:hAnsi="Times New Roman" w:eastAsia="宋体" w:cs="Times New Roman"/>
                <w:sz w:val="20"/>
                <w:szCs w:val="20"/>
              </w:rPr>
            </w:pPr>
          </w:p>
        </w:tc>
        <w:tc>
          <w:tcPr>
            <w:tcW w:w="3246" w:type="dxa"/>
            <w:vMerge w:val="continue"/>
            <w:shd w:val="clear" w:color="auto" w:fill="auto"/>
            <w:noWrap/>
            <w:tcMar>
              <w:top w:w="15" w:type="dxa"/>
              <w:left w:w="15" w:type="dxa"/>
              <w:right w:w="15" w:type="dxa"/>
            </w:tcMar>
            <w:vAlign w:val="center"/>
          </w:tcPr>
          <w:p w14:paraId="2B577531">
            <w:pPr>
              <w:jc w:val="center"/>
              <w:rPr>
                <w:rFonts w:ascii="Times New Roman" w:hAnsi="Times New Roman" w:eastAsia="宋体" w:cs="Times New Roman"/>
                <w:sz w:val="20"/>
                <w:szCs w:val="20"/>
              </w:rPr>
            </w:pPr>
          </w:p>
        </w:tc>
        <w:tc>
          <w:tcPr>
            <w:tcW w:w="1327" w:type="dxa"/>
            <w:vMerge w:val="continue"/>
            <w:shd w:val="clear" w:color="auto" w:fill="auto"/>
            <w:noWrap/>
            <w:tcMar>
              <w:top w:w="15" w:type="dxa"/>
              <w:left w:w="15" w:type="dxa"/>
              <w:right w:w="15" w:type="dxa"/>
            </w:tcMar>
            <w:vAlign w:val="center"/>
          </w:tcPr>
          <w:p w14:paraId="7D1EA894">
            <w:pPr>
              <w:jc w:val="center"/>
              <w:rPr>
                <w:rFonts w:ascii="Times New Roman" w:hAnsi="Times New Roman" w:eastAsia="宋体" w:cs="Times New Roman"/>
                <w:sz w:val="20"/>
                <w:szCs w:val="20"/>
              </w:rPr>
            </w:pPr>
          </w:p>
        </w:tc>
        <w:tc>
          <w:tcPr>
            <w:tcW w:w="1264" w:type="dxa"/>
            <w:vMerge w:val="continue"/>
            <w:shd w:val="clear" w:color="auto" w:fill="auto"/>
            <w:noWrap/>
            <w:tcMar>
              <w:top w:w="15" w:type="dxa"/>
              <w:left w:w="15" w:type="dxa"/>
              <w:right w:w="15" w:type="dxa"/>
            </w:tcMar>
            <w:vAlign w:val="center"/>
          </w:tcPr>
          <w:p w14:paraId="5DE61AF0">
            <w:pPr>
              <w:jc w:val="center"/>
              <w:rPr>
                <w:rFonts w:ascii="Times New Roman" w:hAnsi="Times New Roman" w:eastAsia="宋体" w:cs="Times New Roman"/>
                <w:sz w:val="20"/>
                <w:szCs w:val="20"/>
              </w:rPr>
            </w:pPr>
          </w:p>
        </w:tc>
        <w:tc>
          <w:tcPr>
            <w:tcW w:w="1334" w:type="dxa"/>
            <w:vMerge w:val="continue"/>
            <w:shd w:val="clear" w:color="auto" w:fill="auto"/>
            <w:noWrap/>
            <w:tcMar>
              <w:top w:w="15" w:type="dxa"/>
              <w:left w:w="15" w:type="dxa"/>
              <w:right w:w="15" w:type="dxa"/>
            </w:tcMar>
            <w:vAlign w:val="center"/>
          </w:tcPr>
          <w:p w14:paraId="5B24672E">
            <w:pPr>
              <w:jc w:val="center"/>
              <w:rPr>
                <w:rFonts w:ascii="Times New Roman" w:hAnsi="Times New Roman" w:eastAsia="宋体" w:cs="Times New Roman"/>
                <w:sz w:val="20"/>
                <w:szCs w:val="20"/>
              </w:rPr>
            </w:pPr>
          </w:p>
        </w:tc>
        <w:tc>
          <w:tcPr>
            <w:tcW w:w="1152" w:type="dxa"/>
            <w:gridSpan w:val="2"/>
            <w:vMerge w:val="continue"/>
            <w:shd w:val="clear" w:color="auto" w:fill="auto"/>
            <w:noWrap/>
            <w:tcMar>
              <w:top w:w="15" w:type="dxa"/>
              <w:left w:w="15" w:type="dxa"/>
              <w:right w:w="15" w:type="dxa"/>
            </w:tcMar>
            <w:vAlign w:val="center"/>
          </w:tcPr>
          <w:p w14:paraId="386F5E7B">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01B5952">
            <w:pPr>
              <w:widowControl/>
              <w:jc w:val="center"/>
              <w:textAlignment w:val="center"/>
              <w:rPr>
                <w:rFonts w:ascii="Times New Roman" w:hAnsi="Times New Roman" w:eastAsia="宋体" w:cs="Times New Roman"/>
                <w:sz w:val="20"/>
                <w:szCs w:val="20"/>
              </w:rPr>
            </w:pPr>
            <w:r>
              <w:rPr>
                <w:rStyle w:val="53"/>
                <w:rFonts w:hint="default"/>
                <w:color w:val="auto"/>
              </w:rPr>
              <w:t>数量</w:t>
            </w:r>
          </w:p>
        </w:tc>
        <w:tc>
          <w:tcPr>
            <w:tcW w:w="1214" w:type="dxa"/>
            <w:gridSpan w:val="3"/>
            <w:shd w:val="clear" w:color="auto" w:fill="auto"/>
            <w:noWrap/>
            <w:tcMar>
              <w:top w:w="15" w:type="dxa"/>
              <w:left w:w="15" w:type="dxa"/>
              <w:right w:w="15" w:type="dxa"/>
            </w:tcMar>
            <w:vAlign w:val="center"/>
          </w:tcPr>
          <w:p w14:paraId="7DE92892">
            <w:pPr>
              <w:widowControl/>
              <w:jc w:val="center"/>
              <w:textAlignment w:val="center"/>
              <w:rPr>
                <w:rFonts w:ascii="Times New Roman" w:hAnsi="Times New Roman" w:eastAsia="宋体" w:cs="Times New Roman"/>
                <w:sz w:val="20"/>
                <w:szCs w:val="20"/>
              </w:rPr>
            </w:pPr>
            <w:r>
              <w:rPr>
                <w:rStyle w:val="53"/>
                <w:rFonts w:hint="default"/>
                <w:color w:val="auto"/>
              </w:rPr>
              <w:t>投资</w:t>
            </w:r>
          </w:p>
        </w:tc>
        <w:tc>
          <w:tcPr>
            <w:tcW w:w="912" w:type="dxa"/>
            <w:gridSpan w:val="2"/>
            <w:shd w:val="clear" w:color="auto" w:fill="auto"/>
            <w:noWrap/>
            <w:tcMar>
              <w:top w:w="15" w:type="dxa"/>
              <w:left w:w="15" w:type="dxa"/>
              <w:right w:w="15" w:type="dxa"/>
            </w:tcMar>
            <w:vAlign w:val="center"/>
          </w:tcPr>
          <w:p w14:paraId="43A70C06">
            <w:pPr>
              <w:widowControl/>
              <w:jc w:val="center"/>
              <w:textAlignment w:val="center"/>
              <w:rPr>
                <w:rFonts w:ascii="Times New Roman" w:hAnsi="Times New Roman" w:eastAsia="宋体" w:cs="Times New Roman"/>
                <w:sz w:val="20"/>
                <w:szCs w:val="20"/>
              </w:rPr>
            </w:pPr>
            <w:r>
              <w:rPr>
                <w:rStyle w:val="53"/>
                <w:rFonts w:hint="default"/>
                <w:color w:val="auto"/>
              </w:rPr>
              <w:t>数量</w:t>
            </w:r>
          </w:p>
        </w:tc>
        <w:tc>
          <w:tcPr>
            <w:tcW w:w="962" w:type="dxa"/>
            <w:gridSpan w:val="2"/>
            <w:shd w:val="clear" w:color="auto" w:fill="auto"/>
            <w:noWrap/>
            <w:tcMar>
              <w:top w:w="15" w:type="dxa"/>
              <w:left w:w="15" w:type="dxa"/>
              <w:right w:w="15" w:type="dxa"/>
            </w:tcMar>
            <w:vAlign w:val="center"/>
          </w:tcPr>
          <w:p w14:paraId="2B53D7AC">
            <w:pPr>
              <w:widowControl/>
              <w:jc w:val="center"/>
              <w:textAlignment w:val="center"/>
              <w:rPr>
                <w:rFonts w:ascii="Times New Roman" w:hAnsi="Times New Roman" w:eastAsia="宋体" w:cs="Times New Roman"/>
                <w:sz w:val="20"/>
                <w:szCs w:val="20"/>
              </w:rPr>
            </w:pPr>
            <w:r>
              <w:rPr>
                <w:rStyle w:val="53"/>
                <w:rFonts w:hint="default"/>
                <w:color w:val="auto"/>
              </w:rPr>
              <w:t>投资</w:t>
            </w:r>
          </w:p>
        </w:tc>
        <w:tc>
          <w:tcPr>
            <w:tcW w:w="955" w:type="dxa"/>
            <w:gridSpan w:val="3"/>
            <w:shd w:val="clear" w:color="auto" w:fill="auto"/>
            <w:noWrap/>
            <w:tcMar>
              <w:top w:w="15" w:type="dxa"/>
              <w:left w:w="15" w:type="dxa"/>
              <w:right w:w="15" w:type="dxa"/>
            </w:tcMar>
            <w:vAlign w:val="center"/>
          </w:tcPr>
          <w:p w14:paraId="5C81E042">
            <w:pPr>
              <w:widowControl/>
              <w:jc w:val="center"/>
              <w:textAlignment w:val="center"/>
              <w:rPr>
                <w:rStyle w:val="53"/>
                <w:rFonts w:hint="default"/>
                <w:color w:val="auto"/>
              </w:rPr>
            </w:pPr>
          </w:p>
        </w:tc>
      </w:tr>
      <w:tr w14:paraId="11FA5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92759C8">
            <w:pPr>
              <w:widowControl/>
              <w:jc w:val="center"/>
              <w:textAlignment w:val="center"/>
              <w:rPr>
                <w:rFonts w:ascii="Times New Roman" w:hAnsi="Times New Roman" w:eastAsia="宋体" w:cs="Times New Roman"/>
                <w:b/>
                <w:sz w:val="20"/>
                <w:szCs w:val="20"/>
              </w:rPr>
            </w:pPr>
            <w:r>
              <w:rPr>
                <w:rStyle w:val="53"/>
                <w:rFonts w:hint="default"/>
                <w:b/>
                <w:color w:val="auto"/>
              </w:rPr>
              <w:t>一</w:t>
            </w:r>
          </w:p>
        </w:tc>
        <w:tc>
          <w:tcPr>
            <w:tcW w:w="3246" w:type="dxa"/>
            <w:shd w:val="clear" w:color="auto" w:fill="auto"/>
            <w:noWrap/>
            <w:tcMar>
              <w:top w:w="15" w:type="dxa"/>
              <w:left w:w="15" w:type="dxa"/>
              <w:right w:w="15" w:type="dxa"/>
            </w:tcMar>
            <w:vAlign w:val="center"/>
          </w:tcPr>
          <w:p w14:paraId="3293EA66">
            <w:pPr>
              <w:widowControl/>
              <w:jc w:val="center"/>
              <w:textAlignment w:val="center"/>
              <w:rPr>
                <w:rFonts w:ascii="Times New Roman" w:hAnsi="Times New Roman" w:eastAsia="宋体" w:cs="Times New Roman"/>
                <w:b/>
                <w:sz w:val="20"/>
                <w:szCs w:val="20"/>
              </w:rPr>
            </w:pPr>
            <w:r>
              <w:rPr>
                <w:rStyle w:val="53"/>
                <w:rFonts w:hint="default"/>
                <w:b/>
                <w:color w:val="auto"/>
              </w:rPr>
              <w:t>工程建设费用</w:t>
            </w:r>
          </w:p>
        </w:tc>
        <w:tc>
          <w:tcPr>
            <w:tcW w:w="1327" w:type="dxa"/>
            <w:shd w:val="clear" w:color="auto" w:fill="auto"/>
            <w:noWrap/>
            <w:tcMar>
              <w:top w:w="15" w:type="dxa"/>
              <w:left w:w="15" w:type="dxa"/>
              <w:right w:w="15" w:type="dxa"/>
            </w:tcMar>
            <w:vAlign w:val="center"/>
          </w:tcPr>
          <w:p w14:paraId="6B537E7D">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F00A399">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BCF2702">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17BE8B2">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170641.75</w:t>
            </w:r>
          </w:p>
        </w:tc>
        <w:tc>
          <w:tcPr>
            <w:tcW w:w="992" w:type="dxa"/>
            <w:gridSpan w:val="2"/>
            <w:shd w:val="clear" w:color="auto" w:fill="auto"/>
            <w:noWrap/>
            <w:tcMar>
              <w:top w:w="15" w:type="dxa"/>
              <w:left w:w="15" w:type="dxa"/>
              <w:right w:w="15" w:type="dxa"/>
            </w:tcMar>
            <w:vAlign w:val="center"/>
          </w:tcPr>
          <w:p w14:paraId="457EB4FE">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183471C2">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94026.75</w:t>
            </w:r>
          </w:p>
        </w:tc>
        <w:tc>
          <w:tcPr>
            <w:tcW w:w="912" w:type="dxa"/>
            <w:gridSpan w:val="2"/>
            <w:shd w:val="clear" w:color="auto" w:fill="auto"/>
            <w:noWrap/>
            <w:tcMar>
              <w:top w:w="15" w:type="dxa"/>
              <w:left w:w="15" w:type="dxa"/>
              <w:right w:w="15" w:type="dxa"/>
            </w:tcMar>
            <w:vAlign w:val="center"/>
          </w:tcPr>
          <w:p w14:paraId="1A543677">
            <w:pPr>
              <w:jc w:val="center"/>
              <w:rPr>
                <w:rFonts w:ascii="Times New Roman" w:hAnsi="Times New Roman" w:eastAsia="宋体" w:cs="Times New Roman"/>
                <w:color w:val="0000FF"/>
                <w:sz w:val="20"/>
                <w:szCs w:val="20"/>
              </w:rPr>
            </w:pPr>
          </w:p>
        </w:tc>
        <w:tc>
          <w:tcPr>
            <w:tcW w:w="962" w:type="dxa"/>
            <w:gridSpan w:val="2"/>
            <w:shd w:val="clear" w:color="auto" w:fill="auto"/>
            <w:noWrap/>
            <w:tcMar>
              <w:top w:w="15" w:type="dxa"/>
              <w:left w:w="15" w:type="dxa"/>
              <w:right w:w="15" w:type="dxa"/>
            </w:tcMar>
            <w:vAlign w:val="center"/>
          </w:tcPr>
          <w:p w14:paraId="28D828A4">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76615</w:t>
            </w:r>
          </w:p>
        </w:tc>
        <w:tc>
          <w:tcPr>
            <w:tcW w:w="955" w:type="dxa"/>
            <w:gridSpan w:val="3"/>
            <w:shd w:val="clear" w:color="auto" w:fill="auto"/>
            <w:noWrap/>
            <w:tcMar>
              <w:top w:w="15" w:type="dxa"/>
              <w:left w:w="15" w:type="dxa"/>
              <w:right w:w="15" w:type="dxa"/>
            </w:tcMar>
            <w:vAlign w:val="center"/>
          </w:tcPr>
          <w:p w14:paraId="17529051">
            <w:pPr>
              <w:widowControl/>
              <w:jc w:val="center"/>
              <w:textAlignment w:val="center"/>
              <w:rPr>
                <w:rFonts w:hint="eastAsia" w:ascii="Times New Roman" w:hAnsi="Times New Roman" w:eastAsia="宋体" w:cs="Times New Roman"/>
                <w:sz w:val="20"/>
                <w:szCs w:val="20"/>
              </w:rPr>
            </w:pPr>
          </w:p>
        </w:tc>
      </w:tr>
      <w:tr w14:paraId="5593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D2DB621">
            <w:pPr>
              <w:widowControl/>
              <w:jc w:val="center"/>
              <w:textAlignment w:val="center"/>
              <w:rPr>
                <w:rFonts w:ascii="Times New Roman" w:hAnsi="Times New Roman" w:eastAsia="宋体" w:cs="Times New Roman"/>
                <w:sz w:val="20"/>
                <w:szCs w:val="20"/>
              </w:rPr>
            </w:pPr>
            <w:r>
              <w:rPr>
                <w:rStyle w:val="53"/>
                <w:rFonts w:hint="default"/>
                <w:color w:val="auto"/>
              </w:rPr>
              <w:t>（一）</w:t>
            </w:r>
          </w:p>
        </w:tc>
        <w:tc>
          <w:tcPr>
            <w:tcW w:w="3246" w:type="dxa"/>
            <w:shd w:val="clear" w:color="auto" w:fill="auto"/>
            <w:noWrap/>
            <w:tcMar>
              <w:top w:w="15" w:type="dxa"/>
              <w:left w:w="15" w:type="dxa"/>
              <w:right w:w="15" w:type="dxa"/>
            </w:tcMar>
            <w:vAlign w:val="center"/>
          </w:tcPr>
          <w:p w14:paraId="143EB50B">
            <w:pPr>
              <w:widowControl/>
              <w:jc w:val="center"/>
              <w:textAlignment w:val="center"/>
              <w:rPr>
                <w:rFonts w:ascii="Times New Roman" w:hAnsi="Times New Roman" w:eastAsia="宋体" w:cs="Times New Roman"/>
                <w:sz w:val="20"/>
                <w:szCs w:val="20"/>
              </w:rPr>
            </w:pPr>
            <w:r>
              <w:rPr>
                <w:rStyle w:val="53"/>
                <w:rFonts w:hint="default"/>
                <w:color w:val="auto"/>
              </w:rPr>
              <w:t>草原生态保护工程</w:t>
            </w:r>
          </w:p>
        </w:tc>
        <w:tc>
          <w:tcPr>
            <w:tcW w:w="1327" w:type="dxa"/>
            <w:shd w:val="clear" w:color="auto" w:fill="auto"/>
            <w:noWrap/>
            <w:tcMar>
              <w:top w:w="15" w:type="dxa"/>
              <w:left w:w="15" w:type="dxa"/>
              <w:right w:w="15" w:type="dxa"/>
            </w:tcMar>
            <w:vAlign w:val="center"/>
          </w:tcPr>
          <w:p w14:paraId="4CF426C7">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E673F05">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46356BD1">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5879CD8F">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6811592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44242EB2">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1A4B800">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427E72E">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9C2A029">
            <w:pPr>
              <w:jc w:val="center"/>
              <w:rPr>
                <w:rFonts w:ascii="Times New Roman" w:hAnsi="Times New Roman" w:eastAsia="宋体" w:cs="Times New Roman"/>
                <w:sz w:val="20"/>
                <w:szCs w:val="20"/>
              </w:rPr>
            </w:pPr>
          </w:p>
        </w:tc>
      </w:tr>
      <w:tr w14:paraId="206B2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73E2079">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2DDF3456">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禁牧区</w:t>
            </w:r>
          </w:p>
        </w:tc>
        <w:tc>
          <w:tcPr>
            <w:tcW w:w="1327" w:type="dxa"/>
            <w:shd w:val="clear" w:color="auto" w:fill="auto"/>
            <w:noWrap/>
            <w:tcMar>
              <w:top w:w="15" w:type="dxa"/>
              <w:left w:w="15" w:type="dxa"/>
              <w:right w:w="15" w:type="dxa"/>
            </w:tcMar>
            <w:vAlign w:val="center"/>
          </w:tcPr>
          <w:p w14:paraId="0532239C">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4FBE094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1334" w:type="dxa"/>
            <w:shd w:val="clear" w:color="auto" w:fill="auto"/>
            <w:noWrap/>
            <w:tcMar>
              <w:top w:w="15" w:type="dxa"/>
              <w:left w:w="15" w:type="dxa"/>
              <w:right w:w="15" w:type="dxa"/>
            </w:tcMar>
            <w:vAlign w:val="center"/>
          </w:tcPr>
          <w:p w14:paraId="4D0360F0">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7.5</w:t>
            </w:r>
          </w:p>
        </w:tc>
        <w:tc>
          <w:tcPr>
            <w:tcW w:w="1152" w:type="dxa"/>
            <w:gridSpan w:val="2"/>
            <w:shd w:val="clear" w:color="auto" w:fill="auto"/>
            <w:noWrap/>
            <w:tcMar>
              <w:top w:w="15" w:type="dxa"/>
              <w:left w:w="15" w:type="dxa"/>
              <w:right w:w="15" w:type="dxa"/>
            </w:tcMar>
            <w:vAlign w:val="center"/>
          </w:tcPr>
          <w:p w14:paraId="6EFCB96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6000</w:t>
            </w:r>
          </w:p>
        </w:tc>
        <w:tc>
          <w:tcPr>
            <w:tcW w:w="992" w:type="dxa"/>
            <w:gridSpan w:val="2"/>
            <w:shd w:val="clear" w:color="auto" w:fill="auto"/>
            <w:noWrap/>
            <w:tcMar>
              <w:top w:w="15" w:type="dxa"/>
              <w:left w:w="15" w:type="dxa"/>
              <w:right w:w="15" w:type="dxa"/>
            </w:tcMar>
            <w:vAlign w:val="center"/>
          </w:tcPr>
          <w:p w14:paraId="31A4964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1214" w:type="dxa"/>
            <w:gridSpan w:val="3"/>
            <w:shd w:val="clear" w:color="auto" w:fill="auto"/>
            <w:noWrap/>
            <w:tcMar>
              <w:top w:w="15" w:type="dxa"/>
              <w:left w:w="15" w:type="dxa"/>
              <w:right w:w="15" w:type="dxa"/>
            </w:tcMar>
            <w:vAlign w:val="center"/>
          </w:tcPr>
          <w:p w14:paraId="71ECA4C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6000</w:t>
            </w:r>
          </w:p>
        </w:tc>
        <w:tc>
          <w:tcPr>
            <w:tcW w:w="912" w:type="dxa"/>
            <w:gridSpan w:val="2"/>
            <w:shd w:val="clear" w:color="auto" w:fill="auto"/>
            <w:noWrap/>
            <w:tcMar>
              <w:top w:w="15" w:type="dxa"/>
              <w:left w:w="15" w:type="dxa"/>
              <w:right w:w="15" w:type="dxa"/>
            </w:tcMar>
            <w:vAlign w:val="center"/>
          </w:tcPr>
          <w:p w14:paraId="0798CDFA">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4EF48C05">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6EBBAF8C">
            <w:pPr>
              <w:widowControl/>
              <w:jc w:val="center"/>
              <w:textAlignment w:val="center"/>
              <w:rPr>
                <w:rFonts w:ascii="Times New Roman" w:hAnsi="Times New Roman" w:eastAsia="宋体" w:cs="Times New Roman"/>
                <w:sz w:val="20"/>
                <w:szCs w:val="20"/>
              </w:rPr>
            </w:pPr>
          </w:p>
        </w:tc>
      </w:tr>
      <w:tr w14:paraId="298A4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053A3A4">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w:t>
            </w:r>
          </w:p>
        </w:tc>
        <w:tc>
          <w:tcPr>
            <w:tcW w:w="3246" w:type="dxa"/>
            <w:shd w:val="clear" w:color="auto" w:fill="auto"/>
            <w:noWrap/>
            <w:tcMar>
              <w:top w:w="15" w:type="dxa"/>
              <w:left w:w="15" w:type="dxa"/>
              <w:right w:w="15" w:type="dxa"/>
            </w:tcMar>
            <w:vAlign w:val="center"/>
          </w:tcPr>
          <w:p w14:paraId="54C741BF">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草畜平衡区</w:t>
            </w:r>
          </w:p>
        </w:tc>
        <w:tc>
          <w:tcPr>
            <w:tcW w:w="1327" w:type="dxa"/>
            <w:shd w:val="clear" w:color="auto" w:fill="auto"/>
            <w:noWrap/>
            <w:tcMar>
              <w:top w:w="15" w:type="dxa"/>
              <w:left w:w="15" w:type="dxa"/>
              <w:right w:w="15" w:type="dxa"/>
            </w:tcMar>
            <w:vAlign w:val="center"/>
          </w:tcPr>
          <w:p w14:paraId="028F679B">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24EC302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6860.70</w:t>
            </w:r>
          </w:p>
        </w:tc>
        <w:tc>
          <w:tcPr>
            <w:tcW w:w="1334" w:type="dxa"/>
            <w:shd w:val="clear" w:color="auto" w:fill="auto"/>
            <w:noWrap/>
            <w:tcMar>
              <w:top w:w="15" w:type="dxa"/>
              <w:left w:w="15" w:type="dxa"/>
              <w:right w:w="15" w:type="dxa"/>
            </w:tcMar>
            <w:vAlign w:val="center"/>
          </w:tcPr>
          <w:p w14:paraId="108C94D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2.5</w:t>
            </w:r>
          </w:p>
        </w:tc>
        <w:tc>
          <w:tcPr>
            <w:tcW w:w="1152" w:type="dxa"/>
            <w:gridSpan w:val="2"/>
            <w:shd w:val="clear" w:color="auto" w:fill="auto"/>
            <w:noWrap/>
            <w:tcMar>
              <w:top w:w="15" w:type="dxa"/>
              <w:left w:w="15" w:type="dxa"/>
              <w:right w:w="15" w:type="dxa"/>
            </w:tcMar>
            <w:vAlign w:val="center"/>
          </w:tcPr>
          <w:p w14:paraId="74711C5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17151.75</w:t>
            </w:r>
          </w:p>
        </w:tc>
        <w:tc>
          <w:tcPr>
            <w:tcW w:w="992" w:type="dxa"/>
            <w:gridSpan w:val="2"/>
            <w:shd w:val="clear" w:color="auto" w:fill="auto"/>
            <w:noWrap/>
            <w:tcMar>
              <w:top w:w="15" w:type="dxa"/>
              <w:left w:w="15" w:type="dxa"/>
              <w:right w:w="15" w:type="dxa"/>
            </w:tcMar>
            <w:vAlign w:val="center"/>
          </w:tcPr>
          <w:p w14:paraId="3A605C1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6860.7</w:t>
            </w:r>
          </w:p>
        </w:tc>
        <w:tc>
          <w:tcPr>
            <w:tcW w:w="1214" w:type="dxa"/>
            <w:gridSpan w:val="3"/>
            <w:shd w:val="clear" w:color="auto" w:fill="auto"/>
            <w:noWrap/>
            <w:tcMar>
              <w:top w:w="15" w:type="dxa"/>
              <w:left w:w="15" w:type="dxa"/>
              <w:right w:w="15" w:type="dxa"/>
            </w:tcMar>
            <w:vAlign w:val="center"/>
          </w:tcPr>
          <w:p w14:paraId="64A6F34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17151.75</w:t>
            </w:r>
          </w:p>
        </w:tc>
        <w:tc>
          <w:tcPr>
            <w:tcW w:w="912" w:type="dxa"/>
            <w:gridSpan w:val="2"/>
            <w:shd w:val="clear" w:color="auto" w:fill="auto"/>
            <w:noWrap/>
            <w:tcMar>
              <w:top w:w="15" w:type="dxa"/>
              <w:left w:w="15" w:type="dxa"/>
              <w:right w:w="15" w:type="dxa"/>
            </w:tcMar>
            <w:vAlign w:val="center"/>
          </w:tcPr>
          <w:p w14:paraId="5C57F7F3">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FDE5BD8">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26B6A39">
            <w:pPr>
              <w:widowControl/>
              <w:jc w:val="center"/>
              <w:textAlignment w:val="center"/>
              <w:rPr>
                <w:rFonts w:ascii="Times New Roman" w:hAnsi="Times New Roman" w:eastAsia="宋体" w:cs="Times New Roman"/>
                <w:sz w:val="20"/>
                <w:szCs w:val="20"/>
              </w:rPr>
            </w:pPr>
          </w:p>
        </w:tc>
      </w:tr>
      <w:tr w14:paraId="67472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9FB7D78">
            <w:pPr>
              <w:widowControl/>
              <w:jc w:val="center"/>
              <w:textAlignment w:val="center"/>
              <w:rPr>
                <w:rFonts w:ascii="Times New Roman" w:hAnsi="Times New Roman" w:eastAsia="宋体" w:cs="Times New Roman"/>
                <w:sz w:val="20"/>
                <w:szCs w:val="20"/>
              </w:rPr>
            </w:pPr>
            <w:r>
              <w:rPr>
                <w:rStyle w:val="53"/>
                <w:rFonts w:hint="default"/>
                <w:color w:val="auto"/>
              </w:rPr>
              <w:t>（二）</w:t>
            </w:r>
          </w:p>
        </w:tc>
        <w:tc>
          <w:tcPr>
            <w:tcW w:w="3246" w:type="dxa"/>
            <w:shd w:val="clear" w:color="auto" w:fill="auto"/>
            <w:noWrap/>
            <w:tcMar>
              <w:top w:w="15" w:type="dxa"/>
              <w:left w:w="15" w:type="dxa"/>
              <w:right w:w="15" w:type="dxa"/>
            </w:tcMar>
            <w:vAlign w:val="center"/>
          </w:tcPr>
          <w:p w14:paraId="5635AE3E">
            <w:pPr>
              <w:widowControl/>
              <w:jc w:val="center"/>
              <w:textAlignment w:val="center"/>
              <w:rPr>
                <w:rFonts w:ascii="Times New Roman" w:hAnsi="Times New Roman" w:eastAsia="宋体" w:cs="Times New Roman"/>
                <w:sz w:val="20"/>
                <w:szCs w:val="20"/>
              </w:rPr>
            </w:pPr>
            <w:r>
              <w:rPr>
                <w:rStyle w:val="53"/>
                <w:rFonts w:hint="default"/>
                <w:color w:val="auto"/>
              </w:rPr>
              <w:t>草原生态修复工程</w:t>
            </w:r>
          </w:p>
        </w:tc>
        <w:tc>
          <w:tcPr>
            <w:tcW w:w="1327" w:type="dxa"/>
            <w:shd w:val="clear" w:color="auto" w:fill="auto"/>
            <w:noWrap/>
            <w:tcMar>
              <w:top w:w="15" w:type="dxa"/>
              <w:left w:w="15" w:type="dxa"/>
              <w:right w:w="15" w:type="dxa"/>
            </w:tcMar>
            <w:vAlign w:val="center"/>
          </w:tcPr>
          <w:p w14:paraId="44F545C3">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C96C749">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02F3DEE0">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93AA4B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39C753A4">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7CED82F">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F19DCEF">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D8827B3">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3AA8D4C3">
            <w:pPr>
              <w:jc w:val="center"/>
              <w:rPr>
                <w:rFonts w:ascii="Times New Roman" w:hAnsi="Times New Roman" w:eastAsia="宋体" w:cs="Times New Roman"/>
                <w:sz w:val="20"/>
                <w:szCs w:val="20"/>
              </w:rPr>
            </w:pPr>
          </w:p>
        </w:tc>
      </w:tr>
      <w:tr w14:paraId="7DD97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90" w:hRule="atLeast"/>
        </w:trPr>
        <w:tc>
          <w:tcPr>
            <w:tcW w:w="697" w:type="dxa"/>
            <w:shd w:val="clear" w:color="auto" w:fill="auto"/>
            <w:noWrap/>
            <w:tcMar>
              <w:top w:w="15" w:type="dxa"/>
              <w:left w:w="15" w:type="dxa"/>
              <w:right w:w="15" w:type="dxa"/>
            </w:tcMar>
            <w:vAlign w:val="center"/>
          </w:tcPr>
          <w:p w14:paraId="0D6A39DE">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4A43B75D">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重度退化草原修复</w:t>
            </w:r>
          </w:p>
        </w:tc>
        <w:tc>
          <w:tcPr>
            <w:tcW w:w="1327" w:type="dxa"/>
            <w:shd w:val="clear" w:color="auto" w:fill="auto"/>
            <w:noWrap/>
            <w:tcMar>
              <w:top w:w="15" w:type="dxa"/>
              <w:left w:w="15" w:type="dxa"/>
              <w:right w:w="15" w:type="dxa"/>
            </w:tcMar>
            <w:vAlign w:val="center"/>
          </w:tcPr>
          <w:p w14:paraId="47EC04ED">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338DC1E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w:t>
            </w:r>
          </w:p>
        </w:tc>
        <w:tc>
          <w:tcPr>
            <w:tcW w:w="1334" w:type="dxa"/>
            <w:shd w:val="clear" w:color="auto" w:fill="auto"/>
            <w:noWrap/>
            <w:tcMar>
              <w:top w:w="15" w:type="dxa"/>
              <w:left w:w="15" w:type="dxa"/>
              <w:right w:w="15" w:type="dxa"/>
            </w:tcMar>
            <w:vAlign w:val="center"/>
          </w:tcPr>
          <w:p w14:paraId="2F11941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500</w:t>
            </w:r>
          </w:p>
        </w:tc>
        <w:tc>
          <w:tcPr>
            <w:tcW w:w="1152" w:type="dxa"/>
            <w:gridSpan w:val="2"/>
            <w:shd w:val="clear" w:color="auto" w:fill="auto"/>
            <w:noWrap/>
            <w:tcMar>
              <w:top w:w="15" w:type="dxa"/>
              <w:left w:w="15" w:type="dxa"/>
              <w:right w:w="15" w:type="dxa"/>
            </w:tcMar>
            <w:vAlign w:val="center"/>
          </w:tcPr>
          <w:p w14:paraId="0427CEFE">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10000</w:t>
            </w:r>
          </w:p>
        </w:tc>
        <w:tc>
          <w:tcPr>
            <w:tcW w:w="992" w:type="dxa"/>
            <w:gridSpan w:val="2"/>
            <w:shd w:val="clear" w:color="auto" w:fill="auto"/>
            <w:noWrap/>
            <w:tcMar>
              <w:top w:w="15" w:type="dxa"/>
              <w:left w:w="15" w:type="dxa"/>
              <w:right w:w="15" w:type="dxa"/>
            </w:tcMar>
            <w:vAlign w:val="center"/>
          </w:tcPr>
          <w:p w14:paraId="1F62F0F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1214" w:type="dxa"/>
            <w:gridSpan w:val="3"/>
            <w:shd w:val="clear" w:color="auto" w:fill="auto"/>
            <w:noWrap/>
            <w:tcMar>
              <w:top w:w="15" w:type="dxa"/>
              <w:left w:w="15" w:type="dxa"/>
              <w:right w:w="15" w:type="dxa"/>
            </w:tcMar>
            <w:vAlign w:val="center"/>
          </w:tcPr>
          <w:p w14:paraId="1535D07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5000</w:t>
            </w:r>
          </w:p>
        </w:tc>
        <w:tc>
          <w:tcPr>
            <w:tcW w:w="912" w:type="dxa"/>
            <w:gridSpan w:val="2"/>
            <w:shd w:val="clear" w:color="auto" w:fill="auto"/>
            <w:noWrap/>
            <w:tcMar>
              <w:top w:w="15" w:type="dxa"/>
              <w:left w:w="15" w:type="dxa"/>
              <w:right w:w="15" w:type="dxa"/>
            </w:tcMar>
            <w:vAlign w:val="center"/>
          </w:tcPr>
          <w:p w14:paraId="197D16B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962" w:type="dxa"/>
            <w:gridSpan w:val="2"/>
            <w:shd w:val="clear" w:color="auto" w:fill="auto"/>
            <w:noWrap/>
            <w:tcMar>
              <w:top w:w="15" w:type="dxa"/>
              <w:left w:w="15" w:type="dxa"/>
              <w:right w:w="15" w:type="dxa"/>
            </w:tcMar>
            <w:vAlign w:val="center"/>
          </w:tcPr>
          <w:p w14:paraId="561E791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5000</w:t>
            </w:r>
          </w:p>
        </w:tc>
        <w:tc>
          <w:tcPr>
            <w:tcW w:w="955" w:type="dxa"/>
            <w:gridSpan w:val="3"/>
            <w:shd w:val="clear" w:color="auto" w:fill="auto"/>
            <w:noWrap/>
            <w:tcMar>
              <w:top w:w="15" w:type="dxa"/>
              <w:left w:w="15" w:type="dxa"/>
              <w:right w:w="15" w:type="dxa"/>
            </w:tcMar>
            <w:vAlign w:val="center"/>
          </w:tcPr>
          <w:p w14:paraId="6F5FB548">
            <w:pPr>
              <w:widowControl/>
              <w:jc w:val="center"/>
              <w:textAlignment w:val="center"/>
              <w:rPr>
                <w:rFonts w:hint="eastAsia" w:ascii="Times New Roman" w:hAnsi="Times New Roman" w:eastAsia="宋体" w:cs="Times New Roman"/>
                <w:kern w:val="0"/>
                <w:sz w:val="20"/>
                <w:szCs w:val="20"/>
              </w:rPr>
            </w:pPr>
          </w:p>
        </w:tc>
      </w:tr>
      <w:tr w14:paraId="0BBBB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90" w:hRule="atLeast"/>
        </w:trPr>
        <w:tc>
          <w:tcPr>
            <w:tcW w:w="697" w:type="dxa"/>
            <w:shd w:val="clear" w:color="auto" w:fill="auto"/>
            <w:noWrap/>
            <w:tcMar>
              <w:top w:w="15" w:type="dxa"/>
              <w:left w:w="15" w:type="dxa"/>
              <w:right w:w="15" w:type="dxa"/>
            </w:tcMar>
            <w:vAlign w:val="center"/>
          </w:tcPr>
          <w:p w14:paraId="174DDEC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2CC081D">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中度退化草原修复</w:t>
            </w:r>
          </w:p>
        </w:tc>
        <w:tc>
          <w:tcPr>
            <w:tcW w:w="1327" w:type="dxa"/>
            <w:shd w:val="clear" w:color="auto" w:fill="auto"/>
            <w:noWrap/>
            <w:tcMar>
              <w:top w:w="15" w:type="dxa"/>
              <w:left w:w="15" w:type="dxa"/>
              <w:right w:w="15" w:type="dxa"/>
            </w:tcMar>
            <w:vAlign w:val="center"/>
          </w:tcPr>
          <w:p w14:paraId="330B955A">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5D164E4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280</w:t>
            </w:r>
          </w:p>
        </w:tc>
        <w:tc>
          <w:tcPr>
            <w:tcW w:w="1334" w:type="dxa"/>
            <w:shd w:val="clear" w:color="auto" w:fill="auto"/>
            <w:noWrap/>
            <w:tcMar>
              <w:top w:w="15" w:type="dxa"/>
              <w:left w:w="15" w:type="dxa"/>
              <w:right w:w="15" w:type="dxa"/>
            </w:tcMar>
            <w:vAlign w:val="center"/>
          </w:tcPr>
          <w:p w14:paraId="2AF91A7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300</w:t>
            </w:r>
          </w:p>
        </w:tc>
        <w:tc>
          <w:tcPr>
            <w:tcW w:w="1152" w:type="dxa"/>
            <w:gridSpan w:val="2"/>
            <w:shd w:val="clear" w:color="auto" w:fill="auto"/>
            <w:noWrap/>
            <w:tcMar>
              <w:top w:w="15" w:type="dxa"/>
              <w:left w:w="15" w:type="dxa"/>
              <w:right w:w="15" w:type="dxa"/>
            </w:tcMar>
            <w:vAlign w:val="center"/>
          </w:tcPr>
          <w:p w14:paraId="6436ED82">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84000</w:t>
            </w:r>
          </w:p>
        </w:tc>
        <w:tc>
          <w:tcPr>
            <w:tcW w:w="992" w:type="dxa"/>
            <w:gridSpan w:val="2"/>
            <w:shd w:val="clear" w:color="auto" w:fill="auto"/>
            <w:noWrap/>
            <w:tcMar>
              <w:top w:w="15" w:type="dxa"/>
              <w:left w:w="15" w:type="dxa"/>
              <w:right w:w="15" w:type="dxa"/>
            </w:tcMar>
            <w:vAlign w:val="center"/>
          </w:tcPr>
          <w:p w14:paraId="3AFE11DF">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140</w:t>
            </w:r>
          </w:p>
        </w:tc>
        <w:tc>
          <w:tcPr>
            <w:tcW w:w="1214" w:type="dxa"/>
            <w:gridSpan w:val="3"/>
            <w:shd w:val="clear" w:color="auto" w:fill="auto"/>
            <w:noWrap/>
            <w:tcMar>
              <w:top w:w="15" w:type="dxa"/>
              <w:left w:w="15" w:type="dxa"/>
              <w:right w:w="15" w:type="dxa"/>
            </w:tcMar>
            <w:vAlign w:val="center"/>
          </w:tcPr>
          <w:p w14:paraId="702F75E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42000</w:t>
            </w:r>
          </w:p>
        </w:tc>
        <w:tc>
          <w:tcPr>
            <w:tcW w:w="912" w:type="dxa"/>
            <w:gridSpan w:val="2"/>
            <w:shd w:val="clear" w:color="auto" w:fill="auto"/>
            <w:noWrap/>
            <w:tcMar>
              <w:top w:w="15" w:type="dxa"/>
              <w:left w:w="15" w:type="dxa"/>
              <w:right w:w="15" w:type="dxa"/>
            </w:tcMar>
            <w:vAlign w:val="center"/>
          </w:tcPr>
          <w:p w14:paraId="64C2C75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140</w:t>
            </w:r>
          </w:p>
        </w:tc>
        <w:tc>
          <w:tcPr>
            <w:tcW w:w="962" w:type="dxa"/>
            <w:gridSpan w:val="2"/>
            <w:shd w:val="clear" w:color="auto" w:fill="auto"/>
            <w:noWrap/>
            <w:tcMar>
              <w:top w:w="15" w:type="dxa"/>
              <w:left w:w="15" w:type="dxa"/>
              <w:right w:w="15" w:type="dxa"/>
            </w:tcMar>
            <w:vAlign w:val="center"/>
          </w:tcPr>
          <w:p w14:paraId="02E57EA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42000</w:t>
            </w:r>
          </w:p>
        </w:tc>
        <w:tc>
          <w:tcPr>
            <w:tcW w:w="955" w:type="dxa"/>
            <w:gridSpan w:val="3"/>
            <w:shd w:val="clear" w:color="auto" w:fill="auto"/>
            <w:noWrap/>
            <w:tcMar>
              <w:top w:w="15" w:type="dxa"/>
              <w:left w:w="15" w:type="dxa"/>
              <w:right w:w="15" w:type="dxa"/>
            </w:tcMar>
            <w:vAlign w:val="center"/>
          </w:tcPr>
          <w:p w14:paraId="05181487">
            <w:pPr>
              <w:widowControl/>
              <w:jc w:val="center"/>
              <w:textAlignment w:val="center"/>
              <w:rPr>
                <w:rFonts w:hint="eastAsia" w:ascii="Times New Roman" w:hAnsi="Times New Roman" w:eastAsia="宋体" w:cs="Times New Roman"/>
                <w:kern w:val="0"/>
                <w:sz w:val="20"/>
                <w:szCs w:val="20"/>
              </w:rPr>
            </w:pPr>
          </w:p>
        </w:tc>
      </w:tr>
      <w:tr w14:paraId="52769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741910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70CC1012">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轻度退化草原修复</w:t>
            </w:r>
          </w:p>
        </w:tc>
        <w:tc>
          <w:tcPr>
            <w:tcW w:w="1327" w:type="dxa"/>
            <w:shd w:val="clear" w:color="auto" w:fill="auto"/>
            <w:noWrap/>
            <w:tcMar>
              <w:top w:w="15" w:type="dxa"/>
              <w:left w:w="15" w:type="dxa"/>
              <w:right w:w="15" w:type="dxa"/>
            </w:tcMar>
            <w:vAlign w:val="center"/>
          </w:tcPr>
          <w:p w14:paraId="6484389E">
            <w:pPr>
              <w:widowControl/>
              <w:jc w:val="center"/>
              <w:textAlignment w:val="center"/>
              <w:rPr>
                <w:rFonts w:ascii="宋体" w:hAnsi="宋体" w:eastAsia="宋体" w:cs="宋体"/>
                <w:kern w:val="0"/>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33D8C69F">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1334" w:type="dxa"/>
            <w:shd w:val="clear" w:color="auto" w:fill="auto"/>
            <w:noWrap/>
            <w:tcMar>
              <w:top w:w="15" w:type="dxa"/>
              <w:left w:w="15" w:type="dxa"/>
              <w:right w:w="15" w:type="dxa"/>
            </w:tcMar>
            <w:vAlign w:val="center"/>
          </w:tcPr>
          <w:p w14:paraId="0C4FBC7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100</w:t>
            </w:r>
          </w:p>
        </w:tc>
        <w:tc>
          <w:tcPr>
            <w:tcW w:w="1152" w:type="dxa"/>
            <w:gridSpan w:val="2"/>
            <w:shd w:val="clear" w:color="auto" w:fill="auto"/>
            <w:noWrap/>
            <w:tcMar>
              <w:top w:w="15" w:type="dxa"/>
              <w:left w:w="15" w:type="dxa"/>
              <w:right w:w="15" w:type="dxa"/>
            </w:tcMar>
            <w:vAlign w:val="center"/>
          </w:tcPr>
          <w:p w14:paraId="1E7FAF3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20000</w:t>
            </w:r>
          </w:p>
        </w:tc>
        <w:tc>
          <w:tcPr>
            <w:tcW w:w="992" w:type="dxa"/>
            <w:gridSpan w:val="2"/>
            <w:shd w:val="clear" w:color="auto" w:fill="auto"/>
            <w:noWrap/>
            <w:tcMar>
              <w:top w:w="15" w:type="dxa"/>
              <w:left w:w="15" w:type="dxa"/>
              <w:right w:w="15" w:type="dxa"/>
            </w:tcMar>
            <w:vAlign w:val="center"/>
          </w:tcPr>
          <w:p w14:paraId="6BC825B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w:t>
            </w:r>
          </w:p>
        </w:tc>
        <w:tc>
          <w:tcPr>
            <w:tcW w:w="1214" w:type="dxa"/>
            <w:gridSpan w:val="3"/>
            <w:shd w:val="clear" w:color="auto" w:fill="auto"/>
            <w:noWrap/>
            <w:tcMar>
              <w:top w:w="15" w:type="dxa"/>
              <w:left w:w="15" w:type="dxa"/>
              <w:right w:w="15" w:type="dxa"/>
            </w:tcMar>
            <w:vAlign w:val="center"/>
          </w:tcPr>
          <w:p w14:paraId="061D9494">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10000</w:t>
            </w:r>
          </w:p>
        </w:tc>
        <w:tc>
          <w:tcPr>
            <w:tcW w:w="912" w:type="dxa"/>
            <w:gridSpan w:val="2"/>
            <w:shd w:val="clear" w:color="auto" w:fill="auto"/>
            <w:noWrap/>
            <w:tcMar>
              <w:top w:w="15" w:type="dxa"/>
              <w:left w:w="15" w:type="dxa"/>
              <w:right w:w="15" w:type="dxa"/>
            </w:tcMar>
            <w:vAlign w:val="center"/>
          </w:tcPr>
          <w:p w14:paraId="586843E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w:t>
            </w:r>
          </w:p>
        </w:tc>
        <w:tc>
          <w:tcPr>
            <w:tcW w:w="962" w:type="dxa"/>
            <w:gridSpan w:val="2"/>
            <w:shd w:val="clear" w:color="auto" w:fill="auto"/>
            <w:noWrap/>
            <w:tcMar>
              <w:top w:w="15" w:type="dxa"/>
              <w:left w:w="15" w:type="dxa"/>
              <w:right w:w="15" w:type="dxa"/>
            </w:tcMar>
            <w:vAlign w:val="center"/>
          </w:tcPr>
          <w:p w14:paraId="1A2C4E7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10000</w:t>
            </w:r>
          </w:p>
        </w:tc>
        <w:tc>
          <w:tcPr>
            <w:tcW w:w="955" w:type="dxa"/>
            <w:gridSpan w:val="3"/>
            <w:shd w:val="clear" w:color="auto" w:fill="auto"/>
            <w:noWrap/>
            <w:tcMar>
              <w:top w:w="15" w:type="dxa"/>
              <w:left w:w="15" w:type="dxa"/>
              <w:right w:w="15" w:type="dxa"/>
            </w:tcMar>
            <w:vAlign w:val="center"/>
          </w:tcPr>
          <w:p w14:paraId="30AC08BA">
            <w:pPr>
              <w:widowControl/>
              <w:jc w:val="center"/>
              <w:textAlignment w:val="center"/>
              <w:rPr>
                <w:rFonts w:hint="eastAsia" w:ascii="Times New Roman" w:hAnsi="Times New Roman" w:eastAsia="宋体" w:cs="Times New Roman"/>
                <w:kern w:val="0"/>
                <w:sz w:val="20"/>
                <w:szCs w:val="20"/>
              </w:rPr>
            </w:pPr>
          </w:p>
        </w:tc>
      </w:tr>
      <w:tr w14:paraId="67BE1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02646E0">
            <w:pPr>
              <w:widowControl/>
              <w:jc w:val="center"/>
              <w:textAlignment w:val="center"/>
              <w:rPr>
                <w:rFonts w:ascii="Times New Roman" w:hAnsi="Times New Roman" w:eastAsia="宋体" w:cs="Times New Roman"/>
                <w:sz w:val="20"/>
                <w:szCs w:val="20"/>
              </w:rPr>
            </w:pPr>
            <w:r>
              <w:rPr>
                <w:rStyle w:val="53"/>
                <w:rFonts w:hint="default"/>
                <w:color w:val="auto"/>
              </w:rPr>
              <w:t>（三）</w:t>
            </w:r>
          </w:p>
        </w:tc>
        <w:tc>
          <w:tcPr>
            <w:tcW w:w="3246" w:type="dxa"/>
            <w:shd w:val="clear" w:color="auto" w:fill="auto"/>
            <w:noWrap/>
            <w:tcMar>
              <w:top w:w="15" w:type="dxa"/>
              <w:left w:w="15" w:type="dxa"/>
              <w:right w:w="15" w:type="dxa"/>
            </w:tcMar>
            <w:vAlign w:val="center"/>
          </w:tcPr>
          <w:p w14:paraId="5F8D8145">
            <w:pPr>
              <w:widowControl/>
              <w:jc w:val="center"/>
              <w:textAlignment w:val="center"/>
              <w:rPr>
                <w:rFonts w:ascii="Times New Roman" w:hAnsi="Times New Roman" w:eastAsia="宋体" w:cs="Times New Roman"/>
                <w:sz w:val="20"/>
                <w:szCs w:val="20"/>
              </w:rPr>
            </w:pPr>
            <w:r>
              <w:rPr>
                <w:rStyle w:val="53"/>
                <w:rFonts w:hint="default"/>
                <w:color w:val="auto"/>
              </w:rPr>
              <w:t>草业发展利用工程</w:t>
            </w:r>
          </w:p>
        </w:tc>
        <w:tc>
          <w:tcPr>
            <w:tcW w:w="1327" w:type="dxa"/>
            <w:shd w:val="clear" w:color="auto" w:fill="auto"/>
            <w:noWrap/>
            <w:tcMar>
              <w:top w:w="15" w:type="dxa"/>
              <w:left w:w="15" w:type="dxa"/>
              <w:right w:w="15" w:type="dxa"/>
            </w:tcMar>
            <w:vAlign w:val="center"/>
          </w:tcPr>
          <w:p w14:paraId="2310CA57">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548A3C51">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28DF9F9F">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465C1FF">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47206895">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46E4253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07A29EA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4086E60">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2B0221BB">
            <w:pPr>
              <w:jc w:val="center"/>
              <w:rPr>
                <w:rFonts w:ascii="Times New Roman" w:hAnsi="Times New Roman" w:eastAsia="宋体" w:cs="Times New Roman"/>
                <w:sz w:val="20"/>
                <w:szCs w:val="20"/>
              </w:rPr>
            </w:pPr>
          </w:p>
        </w:tc>
      </w:tr>
      <w:tr w14:paraId="6D005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769554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223FEFBD">
            <w:pPr>
              <w:widowControl/>
              <w:jc w:val="center"/>
              <w:textAlignment w:val="center"/>
              <w:rPr>
                <w:rFonts w:ascii="Times New Roman" w:hAnsi="Times New Roman" w:eastAsia="宋体" w:cs="Times New Roman"/>
                <w:sz w:val="20"/>
                <w:szCs w:val="20"/>
              </w:rPr>
            </w:pPr>
            <w:r>
              <w:rPr>
                <w:rStyle w:val="53"/>
                <w:rFonts w:hint="default"/>
                <w:color w:val="auto"/>
              </w:rPr>
              <w:t>草种业工程</w:t>
            </w:r>
          </w:p>
        </w:tc>
        <w:tc>
          <w:tcPr>
            <w:tcW w:w="1327" w:type="dxa"/>
            <w:shd w:val="clear" w:color="auto" w:fill="auto"/>
            <w:noWrap/>
            <w:tcMar>
              <w:top w:w="15" w:type="dxa"/>
              <w:left w:w="15" w:type="dxa"/>
              <w:right w:w="15" w:type="dxa"/>
            </w:tcMar>
            <w:vAlign w:val="center"/>
          </w:tcPr>
          <w:p w14:paraId="1E6573EF">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C0D7378">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75B1ADC7">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F8DC749">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3D3DF4A2">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97286C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4783C42E">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DECC1A7">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47F6C30">
            <w:pPr>
              <w:jc w:val="center"/>
              <w:rPr>
                <w:rFonts w:ascii="Times New Roman" w:hAnsi="Times New Roman" w:eastAsia="宋体" w:cs="Times New Roman"/>
                <w:sz w:val="20"/>
                <w:szCs w:val="20"/>
              </w:rPr>
            </w:pPr>
          </w:p>
        </w:tc>
      </w:tr>
      <w:tr w14:paraId="6996A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1ADD25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37D6801F">
            <w:pPr>
              <w:widowControl/>
              <w:jc w:val="center"/>
              <w:textAlignment w:val="center"/>
              <w:rPr>
                <w:rFonts w:ascii="Times New Roman" w:hAnsi="Times New Roman" w:eastAsia="宋体" w:cs="Times New Roman"/>
                <w:sz w:val="20"/>
                <w:szCs w:val="20"/>
              </w:rPr>
            </w:pPr>
            <w:r>
              <w:rPr>
                <w:rStyle w:val="53"/>
                <w:rFonts w:hint="default"/>
                <w:color w:val="auto"/>
              </w:rPr>
              <w:t>草种原种基地</w:t>
            </w:r>
          </w:p>
        </w:tc>
        <w:tc>
          <w:tcPr>
            <w:tcW w:w="1327" w:type="dxa"/>
            <w:shd w:val="clear" w:color="auto" w:fill="auto"/>
            <w:noWrap/>
            <w:tcMar>
              <w:top w:w="15" w:type="dxa"/>
              <w:left w:w="15" w:type="dxa"/>
              <w:right w:w="15" w:type="dxa"/>
            </w:tcMar>
            <w:vAlign w:val="center"/>
          </w:tcPr>
          <w:p w14:paraId="25EF816B">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4317EF8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046C90E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1152" w:type="dxa"/>
            <w:gridSpan w:val="2"/>
            <w:shd w:val="clear" w:color="auto" w:fill="auto"/>
            <w:noWrap/>
            <w:tcMar>
              <w:top w:w="15" w:type="dxa"/>
              <w:left w:w="15" w:type="dxa"/>
              <w:right w:w="15" w:type="dxa"/>
            </w:tcMar>
            <w:vAlign w:val="center"/>
          </w:tcPr>
          <w:p w14:paraId="3F6E481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92" w:type="dxa"/>
            <w:gridSpan w:val="2"/>
            <w:shd w:val="clear" w:color="auto" w:fill="auto"/>
            <w:noWrap/>
            <w:tcMar>
              <w:top w:w="15" w:type="dxa"/>
              <w:left w:w="15" w:type="dxa"/>
              <w:right w:w="15" w:type="dxa"/>
            </w:tcMar>
            <w:vAlign w:val="center"/>
          </w:tcPr>
          <w:p w14:paraId="131C855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214" w:type="dxa"/>
            <w:gridSpan w:val="3"/>
            <w:shd w:val="clear" w:color="auto" w:fill="auto"/>
            <w:noWrap/>
            <w:tcMar>
              <w:top w:w="15" w:type="dxa"/>
              <w:left w:w="15" w:type="dxa"/>
              <w:right w:w="15" w:type="dxa"/>
            </w:tcMar>
            <w:vAlign w:val="center"/>
          </w:tcPr>
          <w:p w14:paraId="55985DD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12" w:type="dxa"/>
            <w:gridSpan w:val="2"/>
            <w:shd w:val="clear" w:color="auto" w:fill="auto"/>
            <w:noWrap/>
            <w:tcMar>
              <w:top w:w="15" w:type="dxa"/>
              <w:left w:w="15" w:type="dxa"/>
              <w:right w:w="15" w:type="dxa"/>
            </w:tcMar>
            <w:vAlign w:val="center"/>
          </w:tcPr>
          <w:p w14:paraId="7B67C09E">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4DB761AC">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B3D0F4C">
            <w:pPr>
              <w:widowControl/>
              <w:jc w:val="center"/>
              <w:textAlignment w:val="center"/>
              <w:rPr>
                <w:rFonts w:ascii="Times New Roman" w:hAnsi="Times New Roman" w:eastAsia="宋体" w:cs="Times New Roman"/>
                <w:sz w:val="20"/>
                <w:szCs w:val="20"/>
              </w:rPr>
            </w:pPr>
          </w:p>
        </w:tc>
      </w:tr>
      <w:tr w14:paraId="43E9D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313EC6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533C8FC6">
            <w:pPr>
              <w:widowControl/>
              <w:jc w:val="center"/>
              <w:textAlignment w:val="center"/>
              <w:rPr>
                <w:rFonts w:ascii="Times New Roman" w:hAnsi="Times New Roman" w:eastAsia="宋体" w:cs="Times New Roman"/>
                <w:sz w:val="20"/>
                <w:szCs w:val="20"/>
              </w:rPr>
            </w:pPr>
            <w:r>
              <w:rPr>
                <w:rStyle w:val="53"/>
                <w:rFonts w:hint="default"/>
                <w:color w:val="auto"/>
              </w:rPr>
              <w:t>草种生产基地</w:t>
            </w:r>
          </w:p>
        </w:tc>
        <w:tc>
          <w:tcPr>
            <w:tcW w:w="1327" w:type="dxa"/>
            <w:shd w:val="clear" w:color="auto" w:fill="auto"/>
            <w:noWrap/>
            <w:tcMar>
              <w:top w:w="15" w:type="dxa"/>
              <w:left w:w="15" w:type="dxa"/>
              <w:right w:w="15" w:type="dxa"/>
            </w:tcMar>
            <w:vAlign w:val="center"/>
          </w:tcPr>
          <w:p w14:paraId="5D5E9851">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7CF0F7FC">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3638BFC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1152" w:type="dxa"/>
            <w:gridSpan w:val="2"/>
            <w:shd w:val="clear" w:color="auto" w:fill="auto"/>
            <w:noWrap/>
            <w:tcMar>
              <w:top w:w="15" w:type="dxa"/>
              <w:left w:w="15" w:type="dxa"/>
              <w:right w:w="15" w:type="dxa"/>
            </w:tcMar>
            <w:vAlign w:val="center"/>
          </w:tcPr>
          <w:p w14:paraId="3E62D41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92" w:type="dxa"/>
            <w:gridSpan w:val="2"/>
            <w:shd w:val="clear" w:color="auto" w:fill="auto"/>
            <w:noWrap/>
            <w:tcMar>
              <w:top w:w="15" w:type="dxa"/>
              <w:left w:w="15" w:type="dxa"/>
              <w:right w:w="15" w:type="dxa"/>
            </w:tcMar>
            <w:vAlign w:val="center"/>
          </w:tcPr>
          <w:p w14:paraId="53E0F4E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1214" w:type="dxa"/>
            <w:gridSpan w:val="3"/>
            <w:shd w:val="clear" w:color="auto" w:fill="auto"/>
            <w:noWrap/>
            <w:tcMar>
              <w:top w:w="15" w:type="dxa"/>
              <w:left w:w="15" w:type="dxa"/>
              <w:right w:w="15" w:type="dxa"/>
            </w:tcMar>
            <w:vAlign w:val="center"/>
          </w:tcPr>
          <w:p w14:paraId="157CDA6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r>
              <w:rPr>
                <w:rFonts w:ascii="Times New Roman" w:hAnsi="Times New Roman" w:eastAsia="宋体" w:cs="Times New Roman"/>
                <w:kern w:val="0"/>
                <w:sz w:val="20"/>
                <w:szCs w:val="20"/>
              </w:rPr>
              <w:t>000</w:t>
            </w:r>
          </w:p>
        </w:tc>
        <w:tc>
          <w:tcPr>
            <w:tcW w:w="912" w:type="dxa"/>
            <w:gridSpan w:val="2"/>
            <w:shd w:val="clear" w:color="auto" w:fill="auto"/>
            <w:noWrap/>
            <w:tcMar>
              <w:top w:w="15" w:type="dxa"/>
              <w:left w:w="15" w:type="dxa"/>
              <w:right w:w="15" w:type="dxa"/>
            </w:tcMar>
            <w:vAlign w:val="center"/>
          </w:tcPr>
          <w:p w14:paraId="1ECE756F">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C63B832">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26E45E17">
            <w:pPr>
              <w:widowControl/>
              <w:jc w:val="center"/>
              <w:textAlignment w:val="center"/>
              <w:rPr>
                <w:rFonts w:ascii="Times New Roman" w:hAnsi="Times New Roman" w:eastAsia="宋体" w:cs="Times New Roman"/>
                <w:sz w:val="20"/>
                <w:szCs w:val="20"/>
              </w:rPr>
            </w:pPr>
          </w:p>
        </w:tc>
      </w:tr>
      <w:tr w14:paraId="55445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E07E2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4392FEE">
            <w:pPr>
              <w:widowControl/>
              <w:jc w:val="center"/>
              <w:textAlignment w:val="center"/>
              <w:rPr>
                <w:rFonts w:ascii="Times New Roman" w:hAnsi="Times New Roman" w:eastAsia="宋体" w:cs="Times New Roman"/>
                <w:sz w:val="20"/>
                <w:szCs w:val="20"/>
              </w:rPr>
            </w:pPr>
            <w:r>
              <w:rPr>
                <w:rStyle w:val="53"/>
                <w:rFonts w:hint="default"/>
                <w:color w:val="auto"/>
              </w:rPr>
              <w:t>饲草产业发展工程</w:t>
            </w:r>
          </w:p>
        </w:tc>
        <w:tc>
          <w:tcPr>
            <w:tcW w:w="1327" w:type="dxa"/>
            <w:shd w:val="clear" w:color="auto" w:fill="auto"/>
            <w:noWrap/>
            <w:tcMar>
              <w:top w:w="15" w:type="dxa"/>
              <w:left w:w="15" w:type="dxa"/>
              <w:right w:w="15" w:type="dxa"/>
            </w:tcMar>
            <w:vAlign w:val="center"/>
          </w:tcPr>
          <w:p w14:paraId="318D1C11">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2D527FE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w:t>
            </w:r>
          </w:p>
        </w:tc>
        <w:tc>
          <w:tcPr>
            <w:tcW w:w="1334" w:type="dxa"/>
            <w:shd w:val="clear" w:color="auto" w:fill="auto"/>
            <w:noWrap/>
            <w:tcMar>
              <w:top w:w="15" w:type="dxa"/>
              <w:left w:w="15" w:type="dxa"/>
              <w:right w:w="15" w:type="dxa"/>
            </w:tcMar>
            <w:vAlign w:val="center"/>
          </w:tcPr>
          <w:p w14:paraId="4B33588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450</w:t>
            </w:r>
          </w:p>
        </w:tc>
        <w:tc>
          <w:tcPr>
            <w:tcW w:w="1152" w:type="dxa"/>
            <w:gridSpan w:val="2"/>
            <w:shd w:val="clear" w:color="auto" w:fill="auto"/>
            <w:noWrap/>
            <w:tcMar>
              <w:top w:w="15" w:type="dxa"/>
              <w:left w:w="15" w:type="dxa"/>
              <w:right w:w="15" w:type="dxa"/>
            </w:tcMar>
            <w:vAlign w:val="center"/>
          </w:tcPr>
          <w:p w14:paraId="23A33FE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3600</w:t>
            </w:r>
          </w:p>
        </w:tc>
        <w:tc>
          <w:tcPr>
            <w:tcW w:w="992" w:type="dxa"/>
            <w:gridSpan w:val="2"/>
            <w:shd w:val="clear" w:color="auto" w:fill="auto"/>
            <w:noWrap/>
            <w:tcMar>
              <w:top w:w="15" w:type="dxa"/>
              <w:left w:w="15" w:type="dxa"/>
              <w:right w:w="15" w:type="dxa"/>
            </w:tcMar>
            <w:vAlign w:val="center"/>
          </w:tcPr>
          <w:p w14:paraId="5BDF6B5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4</w:t>
            </w:r>
          </w:p>
        </w:tc>
        <w:tc>
          <w:tcPr>
            <w:tcW w:w="1214" w:type="dxa"/>
            <w:gridSpan w:val="3"/>
            <w:shd w:val="clear" w:color="auto" w:fill="auto"/>
            <w:noWrap/>
            <w:tcMar>
              <w:top w:w="15" w:type="dxa"/>
              <w:left w:w="15" w:type="dxa"/>
              <w:right w:w="15" w:type="dxa"/>
            </w:tcMar>
            <w:vAlign w:val="center"/>
          </w:tcPr>
          <w:p w14:paraId="2E962AD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1800</w:t>
            </w:r>
          </w:p>
        </w:tc>
        <w:tc>
          <w:tcPr>
            <w:tcW w:w="912" w:type="dxa"/>
            <w:gridSpan w:val="2"/>
            <w:shd w:val="clear" w:color="auto" w:fill="auto"/>
            <w:noWrap/>
            <w:tcMar>
              <w:top w:w="15" w:type="dxa"/>
              <w:left w:w="15" w:type="dxa"/>
              <w:right w:w="15" w:type="dxa"/>
            </w:tcMar>
            <w:vAlign w:val="center"/>
          </w:tcPr>
          <w:p w14:paraId="57DABA4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4</w:t>
            </w:r>
          </w:p>
        </w:tc>
        <w:tc>
          <w:tcPr>
            <w:tcW w:w="962" w:type="dxa"/>
            <w:gridSpan w:val="2"/>
            <w:shd w:val="clear" w:color="auto" w:fill="auto"/>
            <w:noWrap/>
            <w:tcMar>
              <w:top w:w="15" w:type="dxa"/>
              <w:left w:w="15" w:type="dxa"/>
              <w:right w:w="15" w:type="dxa"/>
            </w:tcMar>
            <w:vAlign w:val="center"/>
          </w:tcPr>
          <w:p w14:paraId="148984E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1800</w:t>
            </w:r>
          </w:p>
        </w:tc>
        <w:tc>
          <w:tcPr>
            <w:tcW w:w="955" w:type="dxa"/>
            <w:gridSpan w:val="3"/>
            <w:shd w:val="clear" w:color="auto" w:fill="auto"/>
            <w:noWrap/>
            <w:tcMar>
              <w:top w:w="15" w:type="dxa"/>
              <w:left w:w="15" w:type="dxa"/>
              <w:right w:w="15" w:type="dxa"/>
            </w:tcMar>
            <w:vAlign w:val="center"/>
          </w:tcPr>
          <w:p w14:paraId="6B9AD080">
            <w:pPr>
              <w:widowControl/>
              <w:jc w:val="center"/>
              <w:textAlignment w:val="center"/>
              <w:rPr>
                <w:rFonts w:hint="eastAsia" w:ascii="Times New Roman" w:hAnsi="Times New Roman" w:eastAsia="宋体" w:cs="Times New Roman"/>
                <w:kern w:val="0"/>
                <w:sz w:val="20"/>
                <w:szCs w:val="20"/>
              </w:rPr>
            </w:pPr>
          </w:p>
        </w:tc>
      </w:tr>
      <w:tr w14:paraId="0062D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56E31FD">
            <w:pPr>
              <w:widowControl/>
              <w:jc w:val="center"/>
              <w:textAlignment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（四）</w:t>
            </w:r>
          </w:p>
        </w:tc>
        <w:tc>
          <w:tcPr>
            <w:tcW w:w="3246" w:type="dxa"/>
            <w:shd w:val="clear" w:color="auto" w:fill="auto"/>
            <w:noWrap/>
            <w:tcMar>
              <w:top w:w="15" w:type="dxa"/>
              <w:left w:w="15" w:type="dxa"/>
              <w:right w:w="15" w:type="dxa"/>
            </w:tcMar>
            <w:vAlign w:val="center"/>
          </w:tcPr>
          <w:p w14:paraId="6C2721CE">
            <w:pPr>
              <w:widowControl/>
              <w:jc w:val="center"/>
              <w:textAlignment w:val="center"/>
              <w:rPr>
                <w:rStyle w:val="53"/>
                <w:rFonts w:hint="default"/>
                <w:color w:val="auto"/>
              </w:rPr>
            </w:pPr>
            <w:r>
              <w:rPr>
                <w:rStyle w:val="53"/>
                <w:rFonts w:hint="default"/>
                <w:color w:val="auto"/>
              </w:rPr>
              <w:t>草原合理利用工程</w:t>
            </w:r>
          </w:p>
        </w:tc>
        <w:tc>
          <w:tcPr>
            <w:tcW w:w="1327" w:type="dxa"/>
            <w:shd w:val="clear" w:color="auto" w:fill="auto"/>
            <w:noWrap/>
            <w:tcMar>
              <w:top w:w="15" w:type="dxa"/>
              <w:left w:w="15" w:type="dxa"/>
              <w:right w:w="15" w:type="dxa"/>
            </w:tcMar>
            <w:vAlign w:val="center"/>
          </w:tcPr>
          <w:p w14:paraId="06FBD855">
            <w:pPr>
              <w:widowControl/>
              <w:jc w:val="center"/>
              <w:textAlignment w:val="center"/>
              <w:rPr>
                <w:rStyle w:val="53"/>
                <w:rFonts w:hint="default"/>
                <w:color w:val="auto"/>
              </w:rPr>
            </w:pPr>
          </w:p>
        </w:tc>
        <w:tc>
          <w:tcPr>
            <w:tcW w:w="1264" w:type="dxa"/>
            <w:shd w:val="clear" w:color="auto" w:fill="auto"/>
            <w:noWrap/>
            <w:tcMar>
              <w:top w:w="15" w:type="dxa"/>
              <w:left w:w="15" w:type="dxa"/>
              <w:right w:w="15" w:type="dxa"/>
            </w:tcMar>
            <w:vAlign w:val="center"/>
          </w:tcPr>
          <w:p w14:paraId="4D2A7958">
            <w:pPr>
              <w:widowControl/>
              <w:jc w:val="center"/>
              <w:textAlignment w:val="center"/>
              <w:rPr>
                <w:rFonts w:ascii="Times New Roman" w:hAnsi="Times New Roman" w:eastAsia="宋体" w:cs="Times New Roman"/>
                <w:kern w:val="0"/>
                <w:sz w:val="20"/>
                <w:szCs w:val="20"/>
              </w:rPr>
            </w:pPr>
          </w:p>
        </w:tc>
        <w:tc>
          <w:tcPr>
            <w:tcW w:w="1334" w:type="dxa"/>
            <w:shd w:val="clear" w:color="auto" w:fill="auto"/>
            <w:noWrap/>
            <w:tcMar>
              <w:top w:w="15" w:type="dxa"/>
              <w:left w:w="15" w:type="dxa"/>
              <w:right w:w="15" w:type="dxa"/>
            </w:tcMar>
            <w:vAlign w:val="center"/>
          </w:tcPr>
          <w:p w14:paraId="301521DC">
            <w:pPr>
              <w:widowControl/>
              <w:jc w:val="center"/>
              <w:textAlignment w:val="center"/>
              <w:rPr>
                <w:rFonts w:ascii="Times New Roman" w:hAnsi="Times New Roman" w:eastAsia="宋体" w:cs="Times New Roman"/>
                <w:kern w:val="0"/>
                <w:sz w:val="20"/>
                <w:szCs w:val="20"/>
              </w:rPr>
            </w:pPr>
          </w:p>
        </w:tc>
        <w:tc>
          <w:tcPr>
            <w:tcW w:w="1152" w:type="dxa"/>
            <w:gridSpan w:val="2"/>
            <w:shd w:val="clear" w:color="auto" w:fill="auto"/>
            <w:noWrap/>
            <w:tcMar>
              <w:top w:w="15" w:type="dxa"/>
              <w:left w:w="15" w:type="dxa"/>
              <w:right w:w="15" w:type="dxa"/>
            </w:tcMar>
            <w:vAlign w:val="center"/>
          </w:tcPr>
          <w:p w14:paraId="1234E260">
            <w:pPr>
              <w:widowControl/>
              <w:jc w:val="center"/>
              <w:textAlignment w:val="center"/>
              <w:rPr>
                <w:rFonts w:ascii="Times New Roman" w:hAnsi="Times New Roman" w:eastAsia="宋体" w:cs="Times New Roman"/>
                <w:kern w:val="0"/>
                <w:sz w:val="20"/>
                <w:szCs w:val="20"/>
              </w:rPr>
            </w:pPr>
          </w:p>
        </w:tc>
        <w:tc>
          <w:tcPr>
            <w:tcW w:w="992" w:type="dxa"/>
            <w:gridSpan w:val="2"/>
            <w:shd w:val="clear" w:color="auto" w:fill="auto"/>
            <w:noWrap/>
            <w:tcMar>
              <w:top w:w="15" w:type="dxa"/>
              <w:left w:w="15" w:type="dxa"/>
              <w:right w:w="15" w:type="dxa"/>
            </w:tcMar>
            <w:vAlign w:val="center"/>
          </w:tcPr>
          <w:p w14:paraId="3BAE9B4D">
            <w:pPr>
              <w:widowControl/>
              <w:jc w:val="center"/>
              <w:textAlignment w:val="center"/>
              <w:rPr>
                <w:rFonts w:ascii="Times New Roman" w:hAnsi="Times New Roman" w:eastAsia="宋体" w:cs="Times New Roman"/>
                <w:kern w:val="0"/>
                <w:sz w:val="20"/>
                <w:szCs w:val="20"/>
              </w:rPr>
            </w:pPr>
          </w:p>
        </w:tc>
        <w:tc>
          <w:tcPr>
            <w:tcW w:w="1214" w:type="dxa"/>
            <w:gridSpan w:val="3"/>
            <w:shd w:val="clear" w:color="auto" w:fill="auto"/>
            <w:noWrap/>
            <w:tcMar>
              <w:top w:w="15" w:type="dxa"/>
              <w:left w:w="15" w:type="dxa"/>
              <w:right w:w="15" w:type="dxa"/>
            </w:tcMar>
            <w:vAlign w:val="center"/>
          </w:tcPr>
          <w:p w14:paraId="4C3BC58F">
            <w:pPr>
              <w:widowControl/>
              <w:jc w:val="center"/>
              <w:textAlignment w:val="center"/>
              <w:rPr>
                <w:rFonts w:ascii="Times New Roman" w:hAnsi="Times New Roman" w:eastAsia="宋体" w:cs="Times New Roman"/>
                <w:kern w:val="0"/>
                <w:sz w:val="20"/>
                <w:szCs w:val="20"/>
              </w:rPr>
            </w:pPr>
          </w:p>
        </w:tc>
        <w:tc>
          <w:tcPr>
            <w:tcW w:w="912" w:type="dxa"/>
            <w:gridSpan w:val="2"/>
            <w:shd w:val="clear" w:color="auto" w:fill="auto"/>
            <w:noWrap/>
            <w:tcMar>
              <w:top w:w="15" w:type="dxa"/>
              <w:left w:w="15" w:type="dxa"/>
              <w:right w:w="15" w:type="dxa"/>
            </w:tcMar>
            <w:vAlign w:val="center"/>
          </w:tcPr>
          <w:p w14:paraId="0D8A6F22">
            <w:pPr>
              <w:widowControl/>
              <w:jc w:val="center"/>
              <w:textAlignment w:val="center"/>
              <w:rPr>
                <w:rFonts w:ascii="Times New Roman" w:hAnsi="Times New Roman" w:eastAsia="宋体" w:cs="Times New Roman"/>
                <w:kern w:val="0"/>
                <w:sz w:val="20"/>
                <w:szCs w:val="20"/>
              </w:rPr>
            </w:pPr>
          </w:p>
        </w:tc>
        <w:tc>
          <w:tcPr>
            <w:tcW w:w="962" w:type="dxa"/>
            <w:gridSpan w:val="2"/>
            <w:shd w:val="clear" w:color="auto" w:fill="auto"/>
            <w:noWrap/>
            <w:tcMar>
              <w:top w:w="15" w:type="dxa"/>
              <w:left w:w="15" w:type="dxa"/>
              <w:right w:w="15" w:type="dxa"/>
            </w:tcMar>
            <w:vAlign w:val="center"/>
          </w:tcPr>
          <w:p w14:paraId="7E14BBCE">
            <w:pPr>
              <w:widowControl/>
              <w:jc w:val="center"/>
              <w:textAlignment w:val="center"/>
              <w:rPr>
                <w:rFonts w:ascii="Times New Roman" w:hAnsi="Times New Roman" w:eastAsia="宋体" w:cs="Times New Roman"/>
                <w:kern w:val="0"/>
                <w:sz w:val="20"/>
                <w:szCs w:val="20"/>
              </w:rPr>
            </w:pPr>
          </w:p>
        </w:tc>
        <w:tc>
          <w:tcPr>
            <w:tcW w:w="955" w:type="dxa"/>
            <w:gridSpan w:val="3"/>
            <w:shd w:val="clear" w:color="auto" w:fill="auto"/>
            <w:noWrap/>
            <w:tcMar>
              <w:top w:w="15" w:type="dxa"/>
              <w:left w:w="15" w:type="dxa"/>
              <w:right w:w="15" w:type="dxa"/>
            </w:tcMar>
            <w:vAlign w:val="center"/>
          </w:tcPr>
          <w:p w14:paraId="45B62E4D">
            <w:pPr>
              <w:widowControl/>
              <w:jc w:val="center"/>
              <w:textAlignment w:val="center"/>
              <w:rPr>
                <w:rFonts w:ascii="Times New Roman" w:hAnsi="Times New Roman" w:eastAsia="宋体" w:cs="Times New Roman"/>
                <w:kern w:val="0"/>
                <w:sz w:val="20"/>
                <w:szCs w:val="20"/>
              </w:rPr>
            </w:pPr>
          </w:p>
        </w:tc>
      </w:tr>
      <w:tr w14:paraId="7C425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99CC44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016596DF">
            <w:pPr>
              <w:widowControl/>
              <w:jc w:val="center"/>
              <w:textAlignment w:val="center"/>
              <w:rPr>
                <w:rFonts w:ascii="Times New Roman" w:hAnsi="Times New Roman" w:eastAsia="宋体" w:cs="Times New Roman"/>
                <w:sz w:val="20"/>
                <w:szCs w:val="20"/>
              </w:rPr>
            </w:pPr>
            <w:r>
              <w:rPr>
                <w:rStyle w:val="53"/>
                <w:rFonts w:hint="default"/>
                <w:color w:val="auto"/>
              </w:rPr>
              <w:t>草原碳汇能力提升工程</w:t>
            </w:r>
          </w:p>
        </w:tc>
        <w:tc>
          <w:tcPr>
            <w:tcW w:w="1327" w:type="dxa"/>
            <w:shd w:val="clear" w:color="auto" w:fill="auto"/>
            <w:noWrap/>
            <w:tcMar>
              <w:top w:w="15" w:type="dxa"/>
              <w:left w:w="15" w:type="dxa"/>
              <w:right w:w="15" w:type="dxa"/>
            </w:tcMar>
            <w:vAlign w:val="center"/>
          </w:tcPr>
          <w:p w14:paraId="5B5D0DE4">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F160F69">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BB8C4AB">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177786D">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32D6F2E4">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6E5EA85">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252C3FE">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308E9ED3">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24EB3E4">
            <w:pPr>
              <w:jc w:val="center"/>
              <w:rPr>
                <w:rFonts w:ascii="Times New Roman" w:hAnsi="Times New Roman" w:eastAsia="宋体" w:cs="Times New Roman"/>
                <w:sz w:val="20"/>
                <w:szCs w:val="20"/>
              </w:rPr>
            </w:pPr>
          </w:p>
        </w:tc>
      </w:tr>
      <w:tr w14:paraId="7E82A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B3D78BC">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32BC098A">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草原碳汇试点</w:t>
            </w:r>
          </w:p>
        </w:tc>
        <w:tc>
          <w:tcPr>
            <w:tcW w:w="1327" w:type="dxa"/>
            <w:shd w:val="clear" w:color="auto" w:fill="auto"/>
            <w:noWrap/>
            <w:tcMar>
              <w:top w:w="15" w:type="dxa"/>
              <w:left w:w="15" w:type="dxa"/>
              <w:right w:w="15" w:type="dxa"/>
            </w:tcMar>
            <w:vAlign w:val="center"/>
          </w:tcPr>
          <w:p w14:paraId="6F6C0A01">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62C05AE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7F72B16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30</w:t>
            </w:r>
          </w:p>
        </w:tc>
        <w:tc>
          <w:tcPr>
            <w:tcW w:w="1152" w:type="dxa"/>
            <w:gridSpan w:val="2"/>
            <w:shd w:val="clear" w:color="auto" w:fill="auto"/>
            <w:noWrap/>
            <w:tcMar>
              <w:top w:w="15" w:type="dxa"/>
              <w:left w:w="15" w:type="dxa"/>
              <w:right w:w="15" w:type="dxa"/>
            </w:tcMar>
            <w:vAlign w:val="center"/>
          </w:tcPr>
          <w:p w14:paraId="41FD0EA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300</w:t>
            </w:r>
          </w:p>
        </w:tc>
        <w:tc>
          <w:tcPr>
            <w:tcW w:w="992" w:type="dxa"/>
            <w:gridSpan w:val="2"/>
            <w:shd w:val="clear" w:color="auto" w:fill="auto"/>
            <w:noWrap/>
            <w:tcMar>
              <w:top w:w="15" w:type="dxa"/>
              <w:left w:w="15" w:type="dxa"/>
              <w:right w:w="15" w:type="dxa"/>
            </w:tcMar>
            <w:vAlign w:val="center"/>
          </w:tcPr>
          <w:p w14:paraId="0E49FD5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0AC37CB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150</w:t>
            </w:r>
          </w:p>
        </w:tc>
        <w:tc>
          <w:tcPr>
            <w:tcW w:w="912" w:type="dxa"/>
            <w:gridSpan w:val="2"/>
            <w:shd w:val="clear" w:color="auto" w:fill="auto"/>
            <w:noWrap/>
            <w:tcMar>
              <w:top w:w="15" w:type="dxa"/>
              <w:left w:w="15" w:type="dxa"/>
              <w:right w:w="15" w:type="dxa"/>
            </w:tcMar>
            <w:vAlign w:val="center"/>
          </w:tcPr>
          <w:p w14:paraId="2124EE6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962" w:type="dxa"/>
            <w:gridSpan w:val="2"/>
            <w:shd w:val="clear" w:color="auto" w:fill="auto"/>
            <w:noWrap/>
            <w:tcMar>
              <w:top w:w="15" w:type="dxa"/>
              <w:left w:w="15" w:type="dxa"/>
              <w:right w:w="15" w:type="dxa"/>
            </w:tcMar>
            <w:vAlign w:val="center"/>
          </w:tcPr>
          <w:p w14:paraId="50834D7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150</w:t>
            </w:r>
          </w:p>
        </w:tc>
        <w:tc>
          <w:tcPr>
            <w:tcW w:w="955" w:type="dxa"/>
            <w:gridSpan w:val="3"/>
            <w:shd w:val="clear" w:color="auto" w:fill="auto"/>
            <w:noWrap/>
            <w:tcMar>
              <w:top w:w="15" w:type="dxa"/>
              <w:left w:w="15" w:type="dxa"/>
              <w:right w:w="15" w:type="dxa"/>
            </w:tcMar>
            <w:vAlign w:val="center"/>
          </w:tcPr>
          <w:p w14:paraId="7B785285">
            <w:pPr>
              <w:widowControl/>
              <w:jc w:val="center"/>
              <w:textAlignment w:val="center"/>
              <w:rPr>
                <w:rFonts w:hint="eastAsia" w:ascii="Times New Roman" w:hAnsi="Times New Roman" w:eastAsia="宋体" w:cs="Times New Roman"/>
                <w:kern w:val="0"/>
                <w:sz w:val="20"/>
                <w:szCs w:val="20"/>
              </w:rPr>
            </w:pPr>
          </w:p>
        </w:tc>
      </w:tr>
      <w:tr w14:paraId="52039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0AA9E6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0F3353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碳汇交易机制研究</w:t>
            </w:r>
          </w:p>
        </w:tc>
        <w:tc>
          <w:tcPr>
            <w:tcW w:w="1327" w:type="dxa"/>
            <w:shd w:val="clear" w:color="auto" w:fill="auto"/>
            <w:noWrap/>
            <w:tcMar>
              <w:top w:w="15" w:type="dxa"/>
              <w:left w:w="15" w:type="dxa"/>
              <w:right w:w="15" w:type="dxa"/>
            </w:tcMar>
            <w:vAlign w:val="center"/>
          </w:tcPr>
          <w:p w14:paraId="02708D26">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项</w:t>
            </w:r>
          </w:p>
        </w:tc>
        <w:tc>
          <w:tcPr>
            <w:tcW w:w="1264" w:type="dxa"/>
            <w:shd w:val="clear" w:color="auto" w:fill="auto"/>
            <w:noWrap/>
            <w:tcMar>
              <w:top w:w="15" w:type="dxa"/>
              <w:left w:w="15" w:type="dxa"/>
              <w:right w:w="15" w:type="dxa"/>
            </w:tcMar>
            <w:vAlign w:val="center"/>
          </w:tcPr>
          <w:p w14:paraId="2B3345D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13E06F5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47F686F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992" w:type="dxa"/>
            <w:gridSpan w:val="2"/>
            <w:shd w:val="clear" w:color="auto" w:fill="auto"/>
            <w:noWrap/>
            <w:tcMar>
              <w:top w:w="15" w:type="dxa"/>
              <w:left w:w="15" w:type="dxa"/>
              <w:right w:w="15" w:type="dxa"/>
            </w:tcMar>
            <w:vAlign w:val="center"/>
          </w:tcPr>
          <w:p w14:paraId="177EBDB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w:t>
            </w:r>
          </w:p>
        </w:tc>
        <w:tc>
          <w:tcPr>
            <w:tcW w:w="1214" w:type="dxa"/>
            <w:gridSpan w:val="3"/>
            <w:shd w:val="clear" w:color="auto" w:fill="auto"/>
            <w:noWrap/>
            <w:tcMar>
              <w:top w:w="15" w:type="dxa"/>
              <w:left w:w="15" w:type="dxa"/>
              <w:right w:w="15" w:type="dxa"/>
            </w:tcMar>
            <w:vAlign w:val="center"/>
          </w:tcPr>
          <w:p w14:paraId="6EAFDAE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12" w:type="dxa"/>
            <w:gridSpan w:val="2"/>
            <w:shd w:val="clear" w:color="auto" w:fill="auto"/>
            <w:noWrap/>
            <w:tcMar>
              <w:top w:w="15" w:type="dxa"/>
              <w:left w:w="15" w:type="dxa"/>
              <w:right w:w="15" w:type="dxa"/>
            </w:tcMar>
            <w:vAlign w:val="center"/>
          </w:tcPr>
          <w:p w14:paraId="637EFDF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0.5</w:t>
            </w:r>
          </w:p>
        </w:tc>
        <w:tc>
          <w:tcPr>
            <w:tcW w:w="962" w:type="dxa"/>
            <w:gridSpan w:val="2"/>
            <w:shd w:val="clear" w:color="auto" w:fill="auto"/>
            <w:noWrap/>
            <w:tcMar>
              <w:top w:w="15" w:type="dxa"/>
              <w:left w:w="15" w:type="dxa"/>
              <w:right w:w="15" w:type="dxa"/>
            </w:tcMar>
            <w:vAlign w:val="center"/>
          </w:tcPr>
          <w:p w14:paraId="27D69BD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55" w:type="dxa"/>
            <w:gridSpan w:val="3"/>
            <w:shd w:val="clear" w:color="auto" w:fill="auto"/>
            <w:noWrap/>
            <w:tcMar>
              <w:top w:w="15" w:type="dxa"/>
              <w:left w:w="15" w:type="dxa"/>
              <w:right w:w="15" w:type="dxa"/>
            </w:tcMar>
            <w:vAlign w:val="center"/>
          </w:tcPr>
          <w:p w14:paraId="370E882B">
            <w:pPr>
              <w:widowControl/>
              <w:jc w:val="center"/>
              <w:textAlignment w:val="center"/>
              <w:rPr>
                <w:rFonts w:ascii="Times New Roman" w:hAnsi="Times New Roman" w:eastAsia="宋体" w:cs="Times New Roman"/>
                <w:kern w:val="0"/>
                <w:sz w:val="20"/>
                <w:szCs w:val="20"/>
              </w:rPr>
            </w:pPr>
          </w:p>
        </w:tc>
      </w:tr>
      <w:tr w14:paraId="71272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8E242A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741A5BF5">
            <w:pPr>
              <w:widowControl/>
              <w:jc w:val="center"/>
              <w:textAlignment w:val="center"/>
              <w:rPr>
                <w:rFonts w:ascii="Times New Roman" w:hAnsi="Times New Roman" w:eastAsia="宋体" w:cs="Times New Roman"/>
                <w:sz w:val="20"/>
                <w:szCs w:val="20"/>
              </w:rPr>
            </w:pPr>
            <w:r>
              <w:rPr>
                <w:rStyle w:val="53"/>
                <w:rFonts w:hint="default"/>
                <w:color w:val="auto"/>
              </w:rPr>
              <w:t>冬虫夏草产业发展</w:t>
            </w:r>
          </w:p>
        </w:tc>
        <w:tc>
          <w:tcPr>
            <w:tcW w:w="1327" w:type="dxa"/>
            <w:shd w:val="clear" w:color="auto" w:fill="auto"/>
            <w:noWrap/>
            <w:tcMar>
              <w:top w:w="15" w:type="dxa"/>
              <w:left w:w="15" w:type="dxa"/>
              <w:right w:w="15" w:type="dxa"/>
            </w:tcMar>
            <w:vAlign w:val="center"/>
          </w:tcPr>
          <w:p w14:paraId="4DE74E8B">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2F013A76">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BC1D7EA">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295B773">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415E0BF6">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1BCF0E5">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B87C3E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F1FC426">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2E7D0A83">
            <w:pPr>
              <w:jc w:val="center"/>
              <w:rPr>
                <w:rFonts w:ascii="Times New Roman" w:hAnsi="Times New Roman" w:eastAsia="宋体" w:cs="Times New Roman"/>
                <w:sz w:val="20"/>
                <w:szCs w:val="20"/>
              </w:rPr>
            </w:pPr>
          </w:p>
        </w:tc>
      </w:tr>
      <w:tr w14:paraId="2B3A3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19E6D0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24F151DF">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冬虫夏草资源普查</w:t>
            </w:r>
          </w:p>
        </w:tc>
        <w:tc>
          <w:tcPr>
            <w:tcW w:w="1327" w:type="dxa"/>
            <w:shd w:val="clear" w:color="auto" w:fill="auto"/>
            <w:noWrap/>
            <w:tcMar>
              <w:top w:w="15" w:type="dxa"/>
              <w:left w:w="15" w:type="dxa"/>
              <w:right w:w="15" w:type="dxa"/>
            </w:tcMar>
            <w:vAlign w:val="center"/>
          </w:tcPr>
          <w:p w14:paraId="1F924570">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次</w:t>
            </w:r>
          </w:p>
        </w:tc>
        <w:tc>
          <w:tcPr>
            <w:tcW w:w="1264" w:type="dxa"/>
            <w:shd w:val="clear" w:color="auto" w:fill="auto"/>
            <w:noWrap/>
            <w:tcMar>
              <w:top w:w="15" w:type="dxa"/>
              <w:left w:w="15" w:type="dxa"/>
              <w:right w:w="15" w:type="dxa"/>
            </w:tcMar>
            <w:vAlign w:val="center"/>
          </w:tcPr>
          <w:p w14:paraId="5C8A963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0B9A178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1152" w:type="dxa"/>
            <w:gridSpan w:val="2"/>
            <w:shd w:val="clear" w:color="auto" w:fill="auto"/>
            <w:noWrap/>
            <w:tcMar>
              <w:top w:w="15" w:type="dxa"/>
              <w:left w:w="15" w:type="dxa"/>
              <w:right w:w="15" w:type="dxa"/>
            </w:tcMar>
            <w:vAlign w:val="center"/>
          </w:tcPr>
          <w:p w14:paraId="582575D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992" w:type="dxa"/>
            <w:gridSpan w:val="2"/>
            <w:shd w:val="clear" w:color="auto" w:fill="auto"/>
            <w:noWrap/>
            <w:tcMar>
              <w:top w:w="15" w:type="dxa"/>
              <w:left w:w="15" w:type="dxa"/>
              <w:right w:w="15" w:type="dxa"/>
            </w:tcMar>
            <w:vAlign w:val="center"/>
          </w:tcPr>
          <w:p w14:paraId="646DBB37">
            <w:pPr>
              <w:widowControl/>
              <w:jc w:val="center"/>
              <w:textAlignment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1C72EF06">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003644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145A59D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955" w:type="dxa"/>
            <w:gridSpan w:val="3"/>
            <w:shd w:val="clear" w:color="auto" w:fill="auto"/>
            <w:noWrap/>
            <w:tcMar>
              <w:top w:w="15" w:type="dxa"/>
              <w:left w:w="15" w:type="dxa"/>
              <w:right w:w="15" w:type="dxa"/>
            </w:tcMar>
            <w:vAlign w:val="center"/>
          </w:tcPr>
          <w:p w14:paraId="484DBE1F">
            <w:pPr>
              <w:widowControl/>
              <w:jc w:val="center"/>
              <w:textAlignment w:val="center"/>
              <w:rPr>
                <w:rFonts w:hint="eastAsia" w:ascii="Times New Roman" w:hAnsi="Times New Roman" w:eastAsia="宋体" w:cs="Times New Roman"/>
                <w:kern w:val="0"/>
                <w:sz w:val="20"/>
                <w:szCs w:val="20"/>
              </w:rPr>
            </w:pPr>
          </w:p>
        </w:tc>
      </w:tr>
      <w:tr w14:paraId="3B666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3ADEA53">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165D192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冬虫夏草监测体系建设</w:t>
            </w:r>
          </w:p>
        </w:tc>
        <w:tc>
          <w:tcPr>
            <w:tcW w:w="1327" w:type="dxa"/>
            <w:shd w:val="clear" w:color="auto" w:fill="auto"/>
            <w:noWrap/>
            <w:tcMar>
              <w:top w:w="15" w:type="dxa"/>
              <w:left w:w="15" w:type="dxa"/>
              <w:right w:w="15" w:type="dxa"/>
            </w:tcMar>
            <w:vAlign w:val="center"/>
          </w:tcPr>
          <w:p w14:paraId="216CC642">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项</w:t>
            </w:r>
          </w:p>
        </w:tc>
        <w:tc>
          <w:tcPr>
            <w:tcW w:w="1264" w:type="dxa"/>
            <w:shd w:val="clear" w:color="auto" w:fill="auto"/>
            <w:noWrap/>
            <w:tcMar>
              <w:top w:w="15" w:type="dxa"/>
              <w:left w:w="15" w:type="dxa"/>
              <w:right w:w="15" w:type="dxa"/>
            </w:tcMar>
            <w:vAlign w:val="center"/>
          </w:tcPr>
          <w:p w14:paraId="45FBFEF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02FDC03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w:t>
            </w:r>
          </w:p>
        </w:tc>
        <w:tc>
          <w:tcPr>
            <w:tcW w:w="1152" w:type="dxa"/>
            <w:gridSpan w:val="2"/>
            <w:shd w:val="clear" w:color="auto" w:fill="auto"/>
            <w:noWrap/>
            <w:tcMar>
              <w:top w:w="15" w:type="dxa"/>
              <w:left w:w="15" w:type="dxa"/>
              <w:right w:w="15" w:type="dxa"/>
            </w:tcMar>
            <w:vAlign w:val="center"/>
          </w:tcPr>
          <w:p w14:paraId="7404EB5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w:t>
            </w:r>
          </w:p>
        </w:tc>
        <w:tc>
          <w:tcPr>
            <w:tcW w:w="992" w:type="dxa"/>
            <w:gridSpan w:val="2"/>
            <w:shd w:val="clear" w:color="auto" w:fill="auto"/>
            <w:noWrap/>
            <w:tcMar>
              <w:top w:w="15" w:type="dxa"/>
              <w:left w:w="15" w:type="dxa"/>
              <w:right w:w="15" w:type="dxa"/>
            </w:tcMar>
            <w:vAlign w:val="center"/>
          </w:tcPr>
          <w:p w14:paraId="5F975C82">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189F9F50">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D2A20B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3D22AA7D">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r>
              <w:rPr>
                <w:rFonts w:ascii="Times New Roman" w:hAnsi="Times New Roman" w:eastAsia="宋体" w:cs="Times New Roman"/>
                <w:kern w:val="0"/>
                <w:sz w:val="20"/>
                <w:szCs w:val="20"/>
              </w:rPr>
              <w:t>00</w:t>
            </w:r>
          </w:p>
        </w:tc>
        <w:tc>
          <w:tcPr>
            <w:tcW w:w="955" w:type="dxa"/>
            <w:gridSpan w:val="3"/>
            <w:shd w:val="clear" w:color="auto" w:fill="auto"/>
            <w:noWrap/>
            <w:tcMar>
              <w:top w:w="15" w:type="dxa"/>
              <w:left w:w="15" w:type="dxa"/>
              <w:right w:w="15" w:type="dxa"/>
            </w:tcMar>
            <w:vAlign w:val="center"/>
          </w:tcPr>
          <w:p w14:paraId="42E48E1E">
            <w:pPr>
              <w:widowControl/>
              <w:jc w:val="center"/>
              <w:textAlignment w:val="center"/>
              <w:rPr>
                <w:rFonts w:hint="eastAsia" w:ascii="Times New Roman" w:hAnsi="Times New Roman" w:eastAsia="宋体" w:cs="Times New Roman"/>
                <w:kern w:val="0"/>
                <w:sz w:val="20"/>
                <w:szCs w:val="20"/>
              </w:rPr>
            </w:pPr>
          </w:p>
        </w:tc>
      </w:tr>
      <w:tr w14:paraId="3A525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FF5B6A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2B0A6BE8">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品牌创建</w:t>
            </w:r>
          </w:p>
        </w:tc>
        <w:tc>
          <w:tcPr>
            <w:tcW w:w="1327" w:type="dxa"/>
            <w:shd w:val="clear" w:color="auto" w:fill="auto"/>
            <w:noWrap/>
            <w:tcMar>
              <w:top w:w="15" w:type="dxa"/>
              <w:left w:w="15" w:type="dxa"/>
              <w:right w:w="15" w:type="dxa"/>
            </w:tcMar>
            <w:vAlign w:val="center"/>
          </w:tcPr>
          <w:p w14:paraId="02D1ED7E">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项</w:t>
            </w:r>
          </w:p>
        </w:tc>
        <w:tc>
          <w:tcPr>
            <w:tcW w:w="1264" w:type="dxa"/>
            <w:shd w:val="clear" w:color="auto" w:fill="auto"/>
            <w:noWrap/>
            <w:tcMar>
              <w:top w:w="15" w:type="dxa"/>
              <w:left w:w="15" w:type="dxa"/>
              <w:right w:w="15" w:type="dxa"/>
            </w:tcMar>
            <w:vAlign w:val="center"/>
          </w:tcPr>
          <w:p w14:paraId="1AE982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7ABDC0A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1152" w:type="dxa"/>
            <w:gridSpan w:val="2"/>
            <w:shd w:val="clear" w:color="auto" w:fill="auto"/>
            <w:noWrap/>
            <w:tcMar>
              <w:top w:w="15" w:type="dxa"/>
              <w:left w:w="15" w:type="dxa"/>
              <w:right w:w="15" w:type="dxa"/>
            </w:tcMar>
            <w:vAlign w:val="center"/>
          </w:tcPr>
          <w:p w14:paraId="298985B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92" w:type="dxa"/>
            <w:gridSpan w:val="2"/>
            <w:shd w:val="clear" w:color="auto" w:fill="auto"/>
            <w:noWrap/>
            <w:tcMar>
              <w:top w:w="15" w:type="dxa"/>
              <w:left w:w="15" w:type="dxa"/>
              <w:right w:w="15" w:type="dxa"/>
            </w:tcMar>
            <w:vAlign w:val="center"/>
          </w:tcPr>
          <w:p w14:paraId="4EFD34CB">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52476B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54CF6A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1729D45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55" w:type="dxa"/>
            <w:gridSpan w:val="3"/>
            <w:shd w:val="clear" w:color="auto" w:fill="auto"/>
            <w:noWrap/>
            <w:tcMar>
              <w:top w:w="15" w:type="dxa"/>
              <w:left w:w="15" w:type="dxa"/>
              <w:right w:w="15" w:type="dxa"/>
            </w:tcMar>
            <w:vAlign w:val="center"/>
          </w:tcPr>
          <w:p w14:paraId="4A41155B">
            <w:pPr>
              <w:widowControl/>
              <w:jc w:val="center"/>
              <w:textAlignment w:val="center"/>
              <w:rPr>
                <w:rFonts w:ascii="Times New Roman" w:hAnsi="Times New Roman" w:eastAsia="宋体" w:cs="Times New Roman"/>
                <w:kern w:val="0"/>
                <w:sz w:val="20"/>
                <w:szCs w:val="20"/>
              </w:rPr>
            </w:pPr>
          </w:p>
        </w:tc>
      </w:tr>
      <w:tr w14:paraId="34022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B9FC3A3">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14EBF3D6">
            <w:pPr>
              <w:widowControl/>
              <w:jc w:val="center"/>
              <w:textAlignment w:val="center"/>
              <w:rPr>
                <w:rFonts w:ascii="Times New Roman" w:hAnsi="Times New Roman" w:eastAsia="宋体" w:cs="Times New Roman"/>
                <w:sz w:val="20"/>
                <w:szCs w:val="20"/>
              </w:rPr>
            </w:pPr>
            <w:r>
              <w:rPr>
                <w:rStyle w:val="53"/>
                <w:rFonts w:hint="default"/>
                <w:color w:val="auto"/>
              </w:rPr>
              <w:t>草原生态旅游</w:t>
            </w:r>
          </w:p>
        </w:tc>
        <w:tc>
          <w:tcPr>
            <w:tcW w:w="1327" w:type="dxa"/>
            <w:shd w:val="clear" w:color="auto" w:fill="auto"/>
            <w:noWrap/>
            <w:tcMar>
              <w:top w:w="15" w:type="dxa"/>
              <w:left w:w="15" w:type="dxa"/>
              <w:right w:w="15" w:type="dxa"/>
            </w:tcMar>
            <w:vAlign w:val="center"/>
          </w:tcPr>
          <w:p w14:paraId="3A2C33F0">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9CBEFD8">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DFFADDC">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5A19CA4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E16480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5A2DD7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5B6C038">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1B9C88A">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E48AE76">
            <w:pPr>
              <w:jc w:val="center"/>
              <w:rPr>
                <w:rFonts w:ascii="Times New Roman" w:hAnsi="Times New Roman" w:eastAsia="宋体" w:cs="Times New Roman"/>
                <w:sz w:val="20"/>
                <w:szCs w:val="20"/>
              </w:rPr>
            </w:pPr>
          </w:p>
        </w:tc>
      </w:tr>
      <w:tr w14:paraId="52098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909115E">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1442A8C2">
            <w:pPr>
              <w:widowControl/>
              <w:jc w:val="center"/>
              <w:textAlignment w:val="center"/>
              <w:rPr>
                <w:rFonts w:ascii="Times New Roman" w:hAnsi="Times New Roman" w:eastAsia="宋体" w:cs="Times New Roman"/>
                <w:sz w:val="20"/>
                <w:szCs w:val="20"/>
              </w:rPr>
            </w:pPr>
            <w:r>
              <w:rPr>
                <w:rStyle w:val="53"/>
                <w:rFonts w:hint="default"/>
                <w:color w:val="auto"/>
              </w:rPr>
              <w:t>草原生态旅游示范项目</w:t>
            </w:r>
          </w:p>
        </w:tc>
        <w:tc>
          <w:tcPr>
            <w:tcW w:w="1327" w:type="dxa"/>
            <w:shd w:val="clear" w:color="auto" w:fill="auto"/>
            <w:noWrap/>
            <w:tcMar>
              <w:top w:w="15" w:type="dxa"/>
              <w:left w:w="15" w:type="dxa"/>
              <w:right w:w="15" w:type="dxa"/>
            </w:tcMar>
            <w:vAlign w:val="center"/>
          </w:tcPr>
          <w:p w14:paraId="509806B3">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6FB8DC6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2FDE036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1152" w:type="dxa"/>
            <w:gridSpan w:val="2"/>
            <w:shd w:val="clear" w:color="auto" w:fill="auto"/>
            <w:noWrap/>
            <w:tcMar>
              <w:top w:w="15" w:type="dxa"/>
              <w:left w:w="15" w:type="dxa"/>
              <w:right w:w="15" w:type="dxa"/>
            </w:tcMar>
            <w:vAlign w:val="center"/>
          </w:tcPr>
          <w:p w14:paraId="2B67728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1600</w:t>
            </w:r>
          </w:p>
        </w:tc>
        <w:tc>
          <w:tcPr>
            <w:tcW w:w="992" w:type="dxa"/>
            <w:gridSpan w:val="2"/>
            <w:shd w:val="clear" w:color="auto" w:fill="auto"/>
            <w:noWrap/>
            <w:tcMar>
              <w:top w:w="15" w:type="dxa"/>
              <w:left w:w="15" w:type="dxa"/>
              <w:right w:w="15" w:type="dxa"/>
            </w:tcMar>
            <w:vAlign w:val="center"/>
          </w:tcPr>
          <w:p w14:paraId="2F99A78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4082CC0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912" w:type="dxa"/>
            <w:gridSpan w:val="2"/>
            <w:shd w:val="clear" w:color="auto" w:fill="auto"/>
            <w:noWrap/>
            <w:tcMar>
              <w:top w:w="15" w:type="dxa"/>
              <w:left w:w="15" w:type="dxa"/>
              <w:right w:w="15" w:type="dxa"/>
            </w:tcMar>
            <w:vAlign w:val="center"/>
          </w:tcPr>
          <w:p w14:paraId="7BA117F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298D3D4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800</w:t>
            </w:r>
          </w:p>
        </w:tc>
        <w:tc>
          <w:tcPr>
            <w:tcW w:w="955" w:type="dxa"/>
            <w:gridSpan w:val="3"/>
            <w:shd w:val="clear" w:color="auto" w:fill="auto"/>
            <w:noWrap/>
            <w:tcMar>
              <w:top w:w="15" w:type="dxa"/>
              <w:left w:w="15" w:type="dxa"/>
              <w:right w:w="15" w:type="dxa"/>
            </w:tcMar>
            <w:vAlign w:val="center"/>
          </w:tcPr>
          <w:p w14:paraId="4473BCFD">
            <w:pPr>
              <w:widowControl/>
              <w:jc w:val="center"/>
              <w:textAlignment w:val="center"/>
              <w:rPr>
                <w:rFonts w:hint="eastAsia" w:ascii="Times New Roman" w:hAnsi="Times New Roman" w:eastAsia="宋体" w:cs="Times New Roman"/>
                <w:kern w:val="0"/>
                <w:sz w:val="20"/>
                <w:szCs w:val="20"/>
              </w:rPr>
            </w:pPr>
          </w:p>
        </w:tc>
      </w:tr>
      <w:tr w14:paraId="16EFC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B051E91">
            <w:pPr>
              <w:widowControl/>
              <w:jc w:val="center"/>
              <w:textAlignment w:val="center"/>
              <w:rPr>
                <w:rFonts w:ascii="Times New Roman" w:hAnsi="Times New Roman" w:eastAsia="宋体" w:cs="Times New Roman"/>
                <w:sz w:val="20"/>
                <w:szCs w:val="20"/>
              </w:rPr>
            </w:pPr>
            <w:r>
              <w:rPr>
                <w:rStyle w:val="53"/>
                <w:rFonts w:hint="default"/>
                <w:color w:val="auto"/>
              </w:rPr>
              <w:t>（五）</w:t>
            </w:r>
          </w:p>
        </w:tc>
        <w:tc>
          <w:tcPr>
            <w:tcW w:w="3246" w:type="dxa"/>
            <w:shd w:val="clear" w:color="auto" w:fill="auto"/>
            <w:noWrap/>
            <w:tcMar>
              <w:top w:w="15" w:type="dxa"/>
              <w:left w:w="15" w:type="dxa"/>
              <w:right w:w="15" w:type="dxa"/>
            </w:tcMar>
            <w:vAlign w:val="center"/>
          </w:tcPr>
          <w:p w14:paraId="5AE716FC">
            <w:pPr>
              <w:widowControl/>
              <w:jc w:val="center"/>
              <w:textAlignment w:val="center"/>
              <w:rPr>
                <w:rFonts w:ascii="Times New Roman" w:hAnsi="Times New Roman" w:eastAsia="宋体" w:cs="Times New Roman"/>
                <w:sz w:val="20"/>
                <w:szCs w:val="20"/>
              </w:rPr>
            </w:pPr>
            <w:r>
              <w:rPr>
                <w:rStyle w:val="53"/>
                <w:rFonts w:hint="default"/>
                <w:color w:val="auto"/>
              </w:rPr>
              <w:t>草原支撑保障体系建设工程</w:t>
            </w:r>
          </w:p>
        </w:tc>
        <w:tc>
          <w:tcPr>
            <w:tcW w:w="1327" w:type="dxa"/>
            <w:shd w:val="clear" w:color="auto" w:fill="auto"/>
            <w:noWrap/>
            <w:tcMar>
              <w:top w:w="15" w:type="dxa"/>
              <w:left w:w="15" w:type="dxa"/>
              <w:right w:w="15" w:type="dxa"/>
            </w:tcMar>
            <w:vAlign w:val="center"/>
          </w:tcPr>
          <w:p w14:paraId="6C131756">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928F597">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0FEF9499">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E7CB6C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5CE94D0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32162FD">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ED60798">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EA183C6">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553974C">
            <w:pPr>
              <w:jc w:val="center"/>
              <w:rPr>
                <w:rFonts w:ascii="Times New Roman" w:hAnsi="Times New Roman" w:eastAsia="宋体" w:cs="Times New Roman"/>
                <w:sz w:val="20"/>
                <w:szCs w:val="20"/>
              </w:rPr>
            </w:pPr>
          </w:p>
        </w:tc>
      </w:tr>
      <w:tr w14:paraId="20EDE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22913A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690367F1">
            <w:pPr>
              <w:widowControl/>
              <w:jc w:val="center"/>
              <w:textAlignment w:val="center"/>
              <w:rPr>
                <w:rFonts w:ascii="Times New Roman" w:hAnsi="Times New Roman" w:eastAsia="宋体" w:cs="Times New Roman"/>
                <w:sz w:val="20"/>
                <w:szCs w:val="20"/>
              </w:rPr>
            </w:pPr>
            <w:r>
              <w:rPr>
                <w:rStyle w:val="53"/>
                <w:rFonts w:hint="default"/>
                <w:color w:val="auto"/>
              </w:rPr>
              <w:t>草原监测信息化与监督智能化建设</w:t>
            </w:r>
          </w:p>
        </w:tc>
        <w:tc>
          <w:tcPr>
            <w:tcW w:w="1327" w:type="dxa"/>
            <w:shd w:val="clear" w:color="auto" w:fill="auto"/>
            <w:noWrap/>
            <w:tcMar>
              <w:top w:w="15" w:type="dxa"/>
              <w:left w:w="15" w:type="dxa"/>
              <w:right w:w="15" w:type="dxa"/>
            </w:tcMar>
            <w:vAlign w:val="center"/>
          </w:tcPr>
          <w:p w14:paraId="084E8DF5">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34498038">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F13FD33">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8E93D5B">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C26CF6F">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B8F1491">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739B303">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E426BBC">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3D2EE167">
            <w:pPr>
              <w:jc w:val="center"/>
              <w:rPr>
                <w:rFonts w:ascii="Times New Roman" w:hAnsi="Times New Roman" w:eastAsia="宋体" w:cs="Times New Roman"/>
                <w:sz w:val="20"/>
                <w:szCs w:val="20"/>
              </w:rPr>
            </w:pPr>
          </w:p>
        </w:tc>
      </w:tr>
      <w:tr w14:paraId="22852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CB6784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24BAEB4D">
            <w:pPr>
              <w:widowControl/>
              <w:jc w:val="center"/>
              <w:textAlignment w:val="center"/>
              <w:rPr>
                <w:rFonts w:ascii="Times New Roman" w:hAnsi="Times New Roman" w:eastAsia="宋体" w:cs="Times New Roman"/>
                <w:sz w:val="20"/>
                <w:szCs w:val="20"/>
              </w:rPr>
            </w:pPr>
            <w:r>
              <w:rPr>
                <w:rStyle w:val="53"/>
                <w:rFonts w:hint="default"/>
                <w:color w:val="auto"/>
              </w:rPr>
              <w:t>草原综合调查监测建设</w:t>
            </w:r>
          </w:p>
        </w:tc>
        <w:tc>
          <w:tcPr>
            <w:tcW w:w="1327" w:type="dxa"/>
            <w:shd w:val="clear" w:color="auto" w:fill="auto"/>
            <w:noWrap/>
            <w:tcMar>
              <w:top w:w="15" w:type="dxa"/>
              <w:left w:w="15" w:type="dxa"/>
              <w:right w:w="15" w:type="dxa"/>
            </w:tcMar>
            <w:vAlign w:val="center"/>
          </w:tcPr>
          <w:p w14:paraId="39DE327D">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3CB0B564">
            <w:pPr>
              <w:widowControl/>
              <w:jc w:val="center"/>
              <w:textAlignment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4DC5C57">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43D439EA">
            <w:pPr>
              <w:widowControl/>
              <w:jc w:val="center"/>
              <w:textAlignment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72AD7513">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42FB9500">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1F4E5BD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4DAED50">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0D88D67">
            <w:pPr>
              <w:widowControl/>
              <w:jc w:val="center"/>
              <w:textAlignment w:val="center"/>
              <w:rPr>
                <w:rFonts w:ascii="Times New Roman" w:hAnsi="Times New Roman" w:eastAsia="宋体" w:cs="Times New Roman"/>
                <w:sz w:val="20"/>
                <w:szCs w:val="20"/>
              </w:rPr>
            </w:pPr>
          </w:p>
        </w:tc>
      </w:tr>
      <w:tr w14:paraId="39237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62322A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47B89F59">
            <w:pPr>
              <w:widowControl/>
              <w:jc w:val="center"/>
              <w:textAlignment w:val="center"/>
              <w:rPr>
                <w:rStyle w:val="53"/>
                <w:rFonts w:hint="default"/>
                <w:color w:val="auto"/>
              </w:rPr>
            </w:pPr>
            <w:r>
              <w:rPr>
                <w:rStyle w:val="53"/>
                <w:rFonts w:hint="default"/>
                <w:color w:val="auto"/>
              </w:rPr>
              <w:t>草原资源普查</w:t>
            </w:r>
          </w:p>
        </w:tc>
        <w:tc>
          <w:tcPr>
            <w:tcW w:w="1327" w:type="dxa"/>
            <w:shd w:val="clear" w:color="auto" w:fill="auto"/>
            <w:noWrap/>
            <w:tcMar>
              <w:top w:w="15" w:type="dxa"/>
              <w:left w:w="15" w:type="dxa"/>
              <w:right w:w="15" w:type="dxa"/>
            </w:tcMar>
            <w:vAlign w:val="center"/>
          </w:tcPr>
          <w:p w14:paraId="3CA38131">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2739563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40FF2674">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500</w:t>
            </w:r>
          </w:p>
        </w:tc>
        <w:tc>
          <w:tcPr>
            <w:tcW w:w="1152" w:type="dxa"/>
            <w:gridSpan w:val="2"/>
            <w:shd w:val="clear" w:color="auto" w:fill="auto"/>
            <w:noWrap/>
            <w:tcMar>
              <w:top w:w="15" w:type="dxa"/>
              <w:left w:w="15" w:type="dxa"/>
              <w:right w:w="15" w:type="dxa"/>
            </w:tcMar>
            <w:vAlign w:val="center"/>
          </w:tcPr>
          <w:p w14:paraId="2834220E">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92" w:type="dxa"/>
            <w:gridSpan w:val="2"/>
            <w:shd w:val="clear" w:color="auto" w:fill="auto"/>
            <w:noWrap/>
            <w:tcMar>
              <w:top w:w="15" w:type="dxa"/>
              <w:left w:w="15" w:type="dxa"/>
              <w:right w:w="15" w:type="dxa"/>
            </w:tcMar>
            <w:vAlign w:val="center"/>
          </w:tcPr>
          <w:p w14:paraId="41D3A3CB">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8A78615">
            <w:pPr>
              <w:widowControl/>
              <w:jc w:val="center"/>
              <w:textAlignment w:val="center"/>
              <w:rPr>
                <w:rFonts w:ascii="Times New Roman" w:hAnsi="Times New Roman" w:eastAsia="宋体" w:cs="Times New Roman"/>
                <w:kern w:val="0"/>
                <w:sz w:val="20"/>
                <w:szCs w:val="20"/>
              </w:rPr>
            </w:pPr>
          </w:p>
        </w:tc>
        <w:tc>
          <w:tcPr>
            <w:tcW w:w="912" w:type="dxa"/>
            <w:gridSpan w:val="2"/>
            <w:shd w:val="clear" w:color="auto" w:fill="auto"/>
            <w:noWrap/>
            <w:tcMar>
              <w:top w:w="15" w:type="dxa"/>
              <w:left w:w="15" w:type="dxa"/>
              <w:right w:w="15" w:type="dxa"/>
            </w:tcMar>
            <w:vAlign w:val="center"/>
          </w:tcPr>
          <w:p w14:paraId="7A5C9E9E">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962" w:type="dxa"/>
            <w:gridSpan w:val="2"/>
            <w:shd w:val="clear" w:color="auto" w:fill="auto"/>
            <w:noWrap/>
            <w:tcMar>
              <w:top w:w="15" w:type="dxa"/>
              <w:left w:w="15" w:type="dxa"/>
              <w:right w:w="15" w:type="dxa"/>
            </w:tcMar>
            <w:vAlign w:val="center"/>
          </w:tcPr>
          <w:p w14:paraId="7346C35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55" w:type="dxa"/>
            <w:gridSpan w:val="3"/>
            <w:shd w:val="clear" w:color="auto" w:fill="auto"/>
            <w:noWrap/>
            <w:tcMar>
              <w:top w:w="15" w:type="dxa"/>
              <w:left w:w="15" w:type="dxa"/>
              <w:right w:w="15" w:type="dxa"/>
            </w:tcMar>
            <w:vAlign w:val="center"/>
          </w:tcPr>
          <w:p w14:paraId="2E75F197">
            <w:pPr>
              <w:widowControl/>
              <w:jc w:val="center"/>
              <w:textAlignment w:val="center"/>
              <w:rPr>
                <w:rFonts w:hint="eastAsia" w:ascii="Times New Roman" w:hAnsi="Times New Roman" w:eastAsia="宋体" w:cs="Times New Roman"/>
                <w:kern w:val="0"/>
                <w:sz w:val="20"/>
                <w:szCs w:val="20"/>
              </w:rPr>
            </w:pPr>
          </w:p>
        </w:tc>
      </w:tr>
      <w:tr w14:paraId="5B4C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635521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262BC84F">
            <w:pPr>
              <w:widowControl/>
              <w:jc w:val="center"/>
              <w:textAlignment w:val="center"/>
              <w:rPr>
                <w:rStyle w:val="53"/>
                <w:rFonts w:hint="default"/>
                <w:color w:val="auto"/>
              </w:rPr>
            </w:pPr>
            <w:r>
              <w:rPr>
                <w:rStyle w:val="53"/>
                <w:rFonts w:hint="default"/>
                <w:color w:val="auto"/>
              </w:rPr>
              <w:t>草原资源年度动态监测与评价</w:t>
            </w:r>
          </w:p>
        </w:tc>
        <w:tc>
          <w:tcPr>
            <w:tcW w:w="1327" w:type="dxa"/>
            <w:shd w:val="clear" w:color="auto" w:fill="auto"/>
            <w:noWrap/>
            <w:tcMar>
              <w:top w:w="15" w:type="dxa"/>
              <w:left w:w="15" w:type="dxa"/>
              <w:right w:w="15" w:type="dxa"/>
            </w:tcMar>
            <w:vAlign w:val="center"/>
          </w:tcPr>
          <w:p w14:paraId="37268D3D">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0921716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087BE797">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100</w:t>
            </w:r>
          </w:p>
        </w:tc>
        <w:tc>
          <w:tcPr>
            <w:tcW w:w="1152" w:type="dxa"/>
            <w:gridSpan w:val="2"/>
            <w:shd w:val="clear" w:color="auto" w:fill="auto"/>
            <w:noWrap/>
            <w:tcMar>
              <w:top w:w="15" w:type="dxa"/>
              <w:left w:w="15" w:type="dxa"/>
              <w:right w:w="15" w:type="dxa"/>
            </w:tcMar>
            <w:vAlign w:val="center"/>
          </w:tcPr>
          <w:p w14:paraId="564EB48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1000</w:t>
            </w:r>
          </w:p>
        </w:tc>
        <w:tc>
          <w:tcPr>
            <w:tcW w:w="992" w:type="dxa"/>
            <w:gridSpan w:val="2"/>
            <w:shd w:val="clear" w:color="auto" w:fill="auto"/>
            <w:noWrap/>
            <w:tcMar>
              <w:top w:w="15" w:type="dxa"/>
              <w:left w:w="15" w:type="dxa"/>
              <w:right w:w="15" w:type="dxa"/>
            </w:tcMar>
            <w:vAlign w:val="center"/>
          </w:tcPr>
          <w:p w14:paraId="15406ED5">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w:t>
            </w:r>
          </w:p>
        </w:tc>
        <w:tc>
          <w:tcPr>
            <w:tcW w:w="1214" w:type="dxa"/>
            <w:gridSpan w:val="3"/>
            <w:shd w:val="clear" w:color="auto" w:fill="auto"/>
            <w:noWrap/>
            <w:tcMar>
              <w:top w:w="15" w:type="dxa"/>
              <w:left w:w="15" w:type="dxa"/>
              <w:right w:w="15" w:type="dxa"/>
            </w:tcMar>
            <w:vAlign w:val="center"/>
          </w:tcPr>
          <w:p w14:paraId="0B1A435A">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12" w:type="dxa"/>
            <w:gridSpan w:val="2"/>
            <w:shd w:val="clear" w:color="auto" w:fill="auto"/>
            <w:noWrap/>
            <w:tcMar>
              <w:top w:w="15" w:type="dxa"/>
              <w:left w:w="15" w:type="dxa"/>
              <w:right w:w="15" w:type="dxa"/>
            </w:tcMar>
            <w:vAlign w:val="center"/>
          </w:tcPr>
          <w:p w14:paraId="2049EFB2">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w:t>
            </w:r>
          </w:p>
        </w:tc>
        <w:tc>
          <w:tcPr>
            <w:tcW w:w="962" w:type="dxa"/>
            <w:gridSpan w:val="2"/>
            <w:shd w:val="clear" w:color="auto" w:fill="auto"/>
            <w:noWrap/>
            <w:tcMar>
              <w:top w:w="15" w:type="dxa"/>
              <w:left w:w="15" w:type="dxa"/>
              <w:right w:w="15" w:type="dxa"/>
            </w:tcMar>
            <w:vAlign w:val="center"/>
          </w:tcPr>
          <w:p w14:paraId="0AD570E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55" w:type="dxa"/>
            <w:gridSpan w:val="3"/>
            <w:shd w:val="clear" w:color="auto" w:fill="auto"/>
            <w:noWrap/>
            <w:tcMar>
              <w:top w:w="15" w:type="dxa"/>
              <w:left w:w="15" w:type="dxa"/>
              <w:right w:w="15" w:type="dxa"/>
            </w:tcMar>
            <w:vAlign w:val="center"/>
          </w:tcPr>
          <w:p w14:paraId="7CC59AF8">
            <w:pPr>
              <w:widowControl/>
              <w:jc w:val="center"/>
              <w:textAlignment w:val="center"/>
              <w:rPr>
                <w:rFonts w:hint="eastAsia" w:ascii="Times New Roman" w:hAnsi="Times New Roman" w:eastAsia="宋体" w:cs="Times New Roman"/>
                <w:kern w:val="0"/>
                <w:sz w:val="20"/>
                <w:szCs w:val="20"/>
              </w:rPr>
            </w:pPr>
          </w:p>
        </w:tc>
      </w:tr>
      <w:tr w14:paraId="1922F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B5C1A8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7FE36D8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w:t>
            </w:r>
            <w:r>
              <w:rPr>
                <w:rFonts w:hint="eastAsia" w:ascii="宋体" w:hAnsi="宋体" w:eastAsia="宋体" w:cs="宋体"/>
                <w:kern w:val="0"/>
                <w:sz w:val="20"/>
                <w:szCs w:val="20"/>
              </w:rPr>
              <w:t>天空地</w:t>
            </w:r>
            <w:r>
              <w:rPr>
                <w:rFonts w:ascii="Times New Roman" w:hAnsi="Times New Roman" w:eastAsia="宋体" w:cs="Times New Roman"/>
                <w:kern w:val="0"/>
                <w:sz w:val="20"/>
                <w:szCs w:val="20"/>
              </w:rPr>
              <w:t>”</w:t>
            </w:r>
            <w:r>
              <w:rPr>
                <w:rFonts w:hint="eastAsia" w:ascii="宋体" w:hAnsi="宋体" w:eastAsia="宋体" w:cs="宋体"/>
                <w:kern w:val="0"/>
                <w:sz w:val="20"/>
                <w:szCs w:val="20"/>
              </w:rPr>
              <w:t>一体化林草监测预警体系建设</w:t>
            </w:r>
          </w:p>
        </w:tc>
        <w:tc>
          <w:tcPr>
            <w:tcW w:w="1327" w:type="dxa"/>
            <w:shd w:val="clear" w:color="auto" w:fill="auto"/>
            <w:noWrap/>
            <w:tcMar>
              <w:top w:w="15" w:type="dxa"/>
              <w:left w:w="15" w:type="dxa"/>
              <w:right w:w="15" w:type="dxa"/>
            </w:tcMar>
            <w:vAlign w:val="center"/>
          </w:tcPr>
          <w:p w14:paraId="751FA29D">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44AE2F3A">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68DF932">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F7F918F">
            <w:pPr>
              <w:widowControl/>
              <w:jc w:val="center"/>
              <w:textAlignment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891ED9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09E43659">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F92723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6058B62">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A89FAC3">
            <w:pPr>
              <w:widowControl/>
              <w:jc w:val="center"/>
              <w:textAlignment w:val="center"/>
              <w:rPr>
                <w:rFonts w:ascii="Times New Roman" w:hAnsi="Times New Roman" w:eastAsia="宋体" w:cs="Times New Roman"/>
                <w:sz w:val="20"/>
                <w:szCs w:val="20"/>
              </w:rPr>
            </w:pPr>
          </w:p>
        </w:tc>
      </w:tr>
      <w:tr w14:paraId="1FB7F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F74D538">
            <w:pPr>
              <w:widowControl/>
              <w:jc w:val="center"/>
              <w:textAlignment w:val="center"/>
              <w:rPr>
                <w:rFonts w:hint="eastAsia"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1）</w:t>
            </w:r>
          </w:p>
        </w:tc>
        <w:tc>
          <w:tcPr>
            <w:tcW w:w="3246" w:type="dxa"/>
            <w:shd w:val="clear" w:color="auto" w:fill="auto"/>
            <w:noWrap/>
            <w:tcMar>
              <w:top w:w="15" w:type="dxa"/>
              <w:left w:w="15" w:type="dxa"/>
              <w:right w:w="15" w:type="dxa"/>
            </w:tcMar>
            <w:vAlign w:val="center"/>
          </w:tcPr>
          <w:p w14:paraId="215AF20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lang w:val="en-US" w:eastAsia="zh-CN"/>
              </w:rPr>
              <w:t>林草地面综合生态监测站</w:t>
            </w:r>
          </w:p>
        </w:tc>
        <w:tc>
          <w:tcPr>
            <w:tcW w:w="1327" w:type="dxa"/>
            <w:shd w:val="clear" w:color="auto" w:fill="auto"/>
            <w:noWrap/>
            <w:tcMar>
              <w:top w:w="15" w:type="dxa"/>
              <w:left w:w="15" w:type="dxa"/>
              <w:right w:w="15" w:type="dxa"/>
            </w:tcMar>
            <w:vAlign w:val="center"/>
          </w:tcPr>
          <w:p w14:paraId="04AC8E27">
            <w:pPr>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eastAsia="zh-CN"/>
              </w:rPr>
              <w:t>个</w:t>
            </w:r>
          </w:p>
        </w:tc>
        <w:tc>
          <w:tcPr>
            <w:tcW w:w="1264" w:type="dxa"/>
            <w:shd w:val="clear" w:color="auto" w:fill="auto"/>
            <w:noWrap/>
            <w:tcMar>
              <w:top w:w="15" w:type="dxa"/>
              <w:left w:w="15" w:type="dxa"/>
              <w:right w:w="15" w:type="dxa"/>
            </w:tcMar>
            <w:vAlign w:val="center"/>
          </w:tcPr>
          <w:p w14:paraId="57D538C0">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334" w:type="dxa"/>
            <w:shd w:val="clear" w:color="auto" w:fill="auto"/>
            <w:noWrap/>
            <w:tcMar>
              <w:top w:w="15" w:type="dxa"/>
              <w:left w:w="15" w:type="dxa"/>
              <w:right w:w="15" w:type="dxa"/>
            </w:tcMar>
            <w:vAlign w:val="center"/>
          </w:tcPr>
          <w:p w14:paraId="40618984">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1152" w:type="dxa"/>
            <w:gridSpan w:val="2"/>
            <w:shd w:val="clear" w:color="auto" w:fill="auto"/>
            <w:noWrap/>
            <w:tcMar>
              <w:top w:w="15" w:type="dxa"/>
              <w:left w:w="15" w:type="dxa"/>
              <w:right w:w="15" w:type="dxa"/>
            </w:tcMar>
            <w:vAlign w:val="center"/>
          </w:tcPr>
          <w:p w14:paraId="7E0A094C">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992" w:type="dxa"/>
            <w:gridSpan w:val="2"/>
            <w:shd w:val="clear" w:color="auto" w:fill="auto"/>
            <w:noWrap/>
            <w:tcMar>
              <w:top w:w="15" w:type="dxa"/>
              <w:left w:w="15" w:type="dxa"/>
              <w:right w:w="15" w:type="dxa"/>
            </w:tcMar>
            <w:vAlign w:val="center"/>
          </w:tcPr>
          <w:p w14:paraId="185E1AE1">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04E47D7">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53BDF11">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962" w:type="dxa"/>
            <w:gridSpan w:val="2"/>
            <w:shd w:val="clear" w:color="auto" w:fill="auto"/>
            <w:noWrap/>
            <w:tcMar>
              <w:top w:w="15" w:type="dxa"/>
              <w:left w:w="15" w:type="dxa"/>
              <w:right w:w="15" w:type="dxa"/>
            </w:tcMar>
            <w:vAlign w:val="center"/>
          </w:tcPr>
          <w:p w14:paraId="194B0C05">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955" w:type="dxa"/>
            <w:gridSpan w:val="3"/>
            <w:shd w:val="clear" w:color="auto" w:fill="auto"/>
            <w:noWrap/>
            <w:tcMar>
              <w:top w:w="15" w:type="dxa"/>
              <w:left w:w="15" w:type="dxa"/>
              <w:right w:w="15" w:type="dxa"/>
            </w:tcMar>
            <w:vAlign w:val="center"/>
          </w:tcPr>
          <w:p w14:paraId="699FAD02">
            <w:pPr>
              <w:widowControl/>
              <w:jc w:val="center"/>
              <w:textAlignment w:val="center"/>
              <w:rPr>
                <w:rFonts w:ascii="Times New Roman" w:hAnsi="Times New Roman" w:eastAsia="宋体" w:cs="Times New Roman"/>
                <w:sz w:val="20"/>
                <w:szCs w:val="20"/>
              </w:rPr>
            </w:pPr>
          </w:p>
        </w:tc>
      </w:tr>
      <w:tr w14:paraId="641C8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C259764">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2）</w:t>
            </w:r>
          </w:p>
        </w:tc>
        <w:tc>
          <w:tcPr>
            <w:tcW w:w="3246" w:type="dxa"/>
            <w:shd w:val="clear" w:color="auto" w:fill="auto"/>
            <w:noWrap/>
            <w:tcMar>
              <w:top w:w="15" w:type="dxa"/>
              <w:left w:w="15" w:type="dxa"/>
              <w:right w:w="15" w:type="dxa"/>
            </w:tcMar>
            <w:vAlign w:val="center"/>
          </w:tcPr>
          <w:p w14:paraId="260EF504">
            <w:pPr>
              <w:widowControl/>
              <w:jc w:val="center"/>
              <w:textAlignment w:val="center"/>
              <w:rPr>
                <w:rFonts w:hint="eastAsia"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全自主无人机巡检平台</w:t>
            </w:r>
          </w:p>
        </w:tc>
        <w:tc>
          <w:tcPr>
            <w:tcW w:w="1327" w:type="dxa"/>
            <w:shd w:val="clear" w:color="auto" w:fill="auto"/>
            <w:noWrap/>
            <w:tcMar>
              <w:top w:w="15" w:type="dxa"/>
              <w:left w:w="15" w:type="dxa"/>
              <w:right w:w="15" w:type="dxa"/>
            </w:tcMar>
            <w:vAlign w:val="center"/>
          </w:tcPr>
          <w:p w14:paraId="5617A735">
            <w:pPr>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eastAsia="zh-CN"/>
              </w:rPr>
              <w:t>处</w:t>
            </w:r>
          </w:p>
        </w:tc>
        <w:tc>
          <w:tcPr>
            <w:tcW w:w="1264" w:type="dxa"/>
            <w:shd w:val="clear" w:color="auto" w:fill="auto"/>
            <w:noWrap/>
            <w:tcMar>
              <w:top w:w="15" w:type="dxa"/>
              <w:left w:w="15" w:type="dxa"/>
              <w:right w:w="15" w:type="dxa"/>
            </w:tcMar>
            <w:vAlign w:val="center"/>
          </w:tcPr>
          <w:p w14:paraId="7322A252">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11</w:t>
            </w:r>
          </w:p>
        </w:tc>
        <w:tc>
          <w:tcPr>
            <w:tcW w:w="1334" w:type="dxa"/>
            <w:shd w:val="clear" w:color="auto" w:fill="auto"/>
            <w:noWrap/>
            <w:tcMar>
              <w:top w:w="15" w:type="dxa"/>
              <w:left w:w="15" w:type="dxa"/>
              <w:right w:w="15" w:type="dxa"/>
            </w:tcMar>
            <w:vAlign w:val="center"/>
          </w:tcPr>
          <w:p w14:paraId="622D1E90">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50</w:t>
            </w:r>
          </w:p>
        </w:tc>
        <w:tc>
          <w:tcPr>
            <w:tcW w:w="1152" w:type="dxa"/>
            <w:gridSpan w:val="2"/>
            <w:shd w:val="clear" w:color="auto" w:fill="auto"/>
            <w:noWrap/>
            <w:tcMar>
              <w:top w:w="15" w:type="dxa"/>
              <w:left w:w="15" w:type="dxa"/>
              <w:right w:w="15" w:type="dxa"/>
            </w:tcMar>
            <w:vAlign w:val="center"/>
          </w:tcPr>
          <w:p w14:paraId="7CC53C94">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550</w:t>
            </w:r>
          </w:p>
        </w:tc>
        <w:tc>
          <w:tcPr>
            <w:tcW w:w="992" w:type="dxa"/>
            <w:gridSpan w:val="2"/>
            <w:shd w:val="clear" w:color="auto" w:fill="auto"/>
            <w:noWrap/>
            <w:tcMar>
              <w:top w:w="15" w:type="dxa"/>
              <w:left w:w="15" w:type="dxa"/>
              <w:right w:w="15" w:type="dxa"/>
            </w:tcMar>
            <w:vAlign w:val="center"/>
          </w:tcPr>
          <w:p w14:paraId="3E3892F6">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5</w:t>
            </w:r>
          </w:p>
        </w:tc>
        <w:tc>
          <w:tcPr>
            <w:tcW w:w="1214" w:type="dxa"/>
            <w:gridSpan w:val="3"/>
            <w:shd w:val="clear" w:color="auto" w:fill="auto"/>
            <w:noWrap/>
            <w:tcMar>
              <w:top w:w="15" w:type="dxa"/>
              <w:left w:w="15" w:type="dxa"/>
              <w:right w:w="15" w:type="dxa"/>
            </w:tcMar>
            <w:vAlign w:val="center"/>
          </w:tcPr>
          <w:p w14:paraId="727FDBE2">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250</w:t>
            </w:r>
          </w:p>
        </w:tc>
        <w:tc>
          <w:tcPr>
            <w:tcW w:w="912" w:type="dxa"/>
            <w:gridSpan w:val="2"/>
            <w:shd w:val="clear" w:color="auto" w:fill="auto"/>
            <w:noWrap/>
            <w:tcMar>
              <w:top w:w="15" w:type="dxa"/>
              <w:left w:w="15" w:type="dxa"/>
              <w:right w:w="15" w:type="dxa"/>
            </w:tcMar>
            <w:vAlign w:val="center"/>
          </w:tcPr>
          <w:p w14:paraId="7DEBAF31">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6</w:t>
            </w:r>
          </w:p>
        </w:tc>
        <w:tc>
          <w:tcPr>
            <w:tcW w:w="962" w:type="dxa"/>
            <w:gridSpan w:val="2"/>
            <w:shd w:val="clear" w:color="auto" w:fill="auto"/>
            <w:noWrap/>
            <w:tcMar>
              <w:top w:w="15" w:type="dxa"/>
              <w:left w:w="15" w:type="dxa"/>
              <w:right w:w="15" w:type="dxa"/>
            </w:tcMar>
            <w:vAlign w:val="center"/>
          </w:tcPr>
          <w:p w14:paraId="2CC6AC47">
            <w:pPr>
              <w:widowControl/>
              <w:jc w:val="center"/>
              <w:textAlignment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300</w:t>
            </w:r>
          </w:p>
        </w:tc>
        <w:tc>
          <w:tcPr>
            <w:tcW w:w="955" w:type="dxa"/>
            <w:gridSpan w:val="3"/>
            <w:shd w:val="clear" w:color="auto" w:fill="auto"/>
            <w:noWrap/>
            <w:tcMar>
              <w:top w:w="15" w:type="dxa"/>
              <w:left w:w="15" w:type="dxa"/>
              <w:right w:w="15" w:type="dxa"/>
            </w:tcMar>
            <w:vAlign w:val="center"/>
          </w:tcPr>
          <w:p w14:paraId="5F3A6EC5">
            <w:pPr>
              <w:widowControl/>
              <w:jc w:val="center"/>
              <w:textAlignment w:val="center"/>
              <w:rPr>
                <w:rFonts w:ascii="Times New Roman" w:hAnsi="Times New Roman" w:eastAsia="宋体" w:cs="Times New Roman"/>
                <w:sz w:val="20"/>
                <w:szCs w:val="20"/>
              </w:rPr>
            </w:pPr>
          </w:p>
        </w:tc>
      </w:tr>
      <w:tr w14:paraId="49410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A97FC0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lang w:val="en-US" w:eastAsia="zh-CN"/>
              </w:rPr>
              <w:t>3</w:t>
            </w:r>
            <w:r>
              <w:rPr>
                <w:rFonts w:hint="eastAsia" w:ascii="Times New Roman" w:hAnsi="Times New Roman" w:eastAsia="宋体" w:cs="Times New Roman"/>
                <w:kern w:val="0"/>
                <w:sz w:val="20"/>
                <w:szCs w:val="20"/>
              </w:rPr>
              <w:t>）</w:t>
            </w:r>
          </w:p>
        </w:tc>
        <w:tc>
          <w:tcPr>
            <w:tcW w:w="3246" w:type="dxa"/>
            <w:shd w:val="clear" w:color="auto" w:fill="auto"/>
            <w:noWrap/>
            <w:tcMar>
              <w:top w:w="15" w:type="dxa"/>
              <w:left w:w="15" w:type="dxa"/>
              <w:right w:w="15" w:type="dxa"/>
            </w:tcMar>
            <w:vAlign w:val="center"/>
          </w:tcPr>
          <w:p w14:paraId="327D628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草原固定</w:t>
            </w:r>
            <w:r>
              <w:rPr>
                <w:rFonts w:ascii="Times New Roman" w:hAnsi="Times New Roman" w:eastAsia="宋体" w:cs="Times New Roman"/>
                <w:kern w:val="0"/>
                <w:sz w:val="20"/>
                <w:szCs w:val="20"/>
              </w:rPr>
              <w:t>监测点</w:t>
            </w:r>
            <w:r>
              <w:rPr>
                <w:rFonts w:hint="eastAsia" w:ascii="Times New Roman" w:hAnsi="Times New Roman" w:eastAsia="宋体" w:cs="Times New Roman"/>
                <w:kern w:val="0"/>
                <w:sz w:val="20"/>
                <w:szCs w:val="20"/>
              </w:rPr>
              <w:t>（省级、市级）</w:t>
            </w:r>
          </w:p>
        </w:tc>
        <w:tc>
          <w:tcPr>
            <w:tcW w:w="1327" w:type="dxa"/>
            <w:shd w:val="clear" w:color="auto" w:fill="auto"/>
            <w:noWrap/>
            <w:tcMar>
              <w:top w:w="15" w:type="dxa"/>
              <w:left w:w="15" w:type="dxa"/>
              <w:right w:w="15" w:type="dxa"/>
            </w:tcMar>
            <w:vAlign w:val="center"/>
          </w:tcPr>
          <w:p w14:paraId="0732773C">
            <w:pPr>
              <w:jc w:val="center"/>
              <w:rPr>
                <w:rFonts w:ascii="Times New Roman" w:hAnsi="Times New Roman" w:eastAsia="宋体" w:cs="Times New Roman"/>
                <w:sz w:val="20"/>
                <w:szCs w:val="20"/>
              </w:rPr>
            </w:pPr>
            <w:r>
              <w:rPr>
                <w:rFonts w:ascii="Times New Roman" w:hAnsi="Times New Roman" w:eastAsia="宋体" w:cs="Times New Roman"/>
                <w:sz w:val="20"/>
                <w:szCs w:val="20"/>
              </w:rPr>
              <w:t>个</w:t>
            </w:r>
          </w:p>
        </w:tc>
        <w:tc>
          <w:tcPr>
            <w:tcW w:w="1264" w:type="dxa"/>
            <w:shd w:val="clear" w:color="auto" w:fill="auto"/>
            <w:noWrap/>
            <w:tcMar>
              <w:top w:w="15" w:type="dxa"/>
              <w:left w:w="15" w:type="dxa"/>
              <w:right w:w="15" w:type="dxa"/>
            </w:tcMar>
            <w:vAlign w:val="center"/>
          </w:tcPr>
          <w:p w14:paraId="3ACC0869">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50</w:t>
            </w:r>
          </w:p>
        </w:tc>
        <w:tc>
          <w:tcPr>
            <w:tcW w:w="1334" w:type="dxa"/>
            <w:shd w:val="clear" w:color="auto" w:fill="auto"/>
            <w:noWrap/>
            <w:tcMar>
              <w:top w:w="15" w:type="dxa"/>
              <w:left w:w="15" w:type="dxa"/>
              <w:right w:w="15" w:type="dxa"/>
            </w:tcMar>
            <w:vAlign w:val="center"/>
          </w:tcPr>
          <w:p w14:paraId="148286D3">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35</w:t>
            </w:r>
          </w:p>
        </w:tc>
        <w:tc>
          <w:tcPr>
            <w:tcW w:w="1152" w:type="dxa"/>
            <w:gridSpan w:val="2"/>
            <w:shd w:val="clear" w:color="auto" w:fill="auto"/>
            <w:noWrap/>
            <w:tcMar>
              <w:top w:w="15" w:type="dxa"/>
              <w:left w:w="15" w:type="dxa"/>
              <w:right w:w="15" w:type="dxa"/>
            </w:tcMar>
            <w:vAlign w:val="center"/>
          </w:tcPr>
          <w:p w14:paraId="2A93704A">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1750</w:t>
            </w:r>
          </w:p>
        </w:tc>
        <w:tc>
          <w:tcPr>
            <w:tcW w:w="992" w:type="dxa"/>
            <w:gridSpan w:val="2"/>
            <w:shd w:val="clear" w:color="auto" w:fill="auto"/>
            <w:noWrap/>
            <w:tcMar>
              <w:top w:w="15" w:type="dxa"/>
              <w:left w:w="15" w:type="dxa"/>
              <w:right w:w="15" w:type="dxa"/>
            </w:tcMar>
            <w:vAlign w:val="center"/>
          </w:tcPr>
          <w:p w14:paraId="1669A732">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25</w:t>
            </w:r>
          </w:p>
        </w:tc>
        <w:tc>
          <w:tcPr>
            <w:tcW w:w="1214" w:type="dxa"/>
            <w:gridSpan w:val="3"/>
            <w:shd w:val="clear" w:color="auto" w:fill="auto"/>
            <w:noWrap/>
            <w:tcMar>
              <w:top w:w="15" w:type="dxa"/>
              <w:left w:w="15" w:type="dxa"/>
              <w:right w:w="15" w:type="dxa"/>
            </w:tcMar>
            <w:vAlign w:val="center"/>
          </w:tcPr>
          <w:p w14:paraId="4A9CED9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875</w:t>
            </w:r>
          </w:p>
        </w:tc>
        <w:tc>
          <w:tcPr>
            <w:tcW w:w="912" w:type="dxa"/>
            <w:gridSpan w:val="2"/>
            <w:shd w:val="clear" w:color="auto" w:fill="auto"/>
            <w:noWrap/>
            <w:tcMar>
              <w:top w:w="15" w:type="dxa"/>
              <w:left w:w="15" w:type="dxa"/>
              <w:right w:w="15" w:type="dxa"/>
            </w:tcMar>
            <w:vAlign w:val="center"/>
          </w:tcPr>
          <w:p w14:paraId="7EBA975E">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25</w:t>
            </w:r>
          </w:p>
        </w:tc>
        <w:tc>
          <w:tcPr>
            <w:tcW w:w="962" w:type="dxa"/>
            <w:gridSpan w:val="2"/>
            <w:shd w:val="clear" w:color="auto" w:fill="auto"/>
            <w:noWrap/>
            <w:tcMar>
              <w:top w:w="15" w:type="dxa"/>
              <w:left w:w="15" w:type="dxa"/>
              <w:right w:w="15" w:type="dxa"/>
            </w:tcMar>
            <w:vAlign w:val="center"/>
          </w:tcPr>
          <w:p w14:paraId="62BC96F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875</w:t>
            </w:r>
          </w:p>
        </w:tc>
        <w:tc>
          <w:tcPr>
            <w:tcW w:w="955" w:type="dxa"/>
            <w:gridSpan w:val="3"/>
            <w:shd w:val="clear" w:color="auto" w:fill="auto"/>
            <w:noWrap/>
            <w:tcMar>
              <w:top w:w="15" w:type="dxa"/>
              <w:left w:w="15" w:type="dxa"/>
              <w:right w:w="15" w:type="dxa"/>
            </w:tcMar>
            <w:vAlign w:val="center"/>
          </w:tcPr>
          <w:p w14:paraId="4E417C19">
            <w:pPr>
              <w:widowControl/>
              <w:jc w:val="center"/>
              <w:textAlignment w:val="center"/>
              <w:rPr>
                <w:rFonts w:hint="eastAsia" w:ascii="Times New Roman" w:hAnsi="Times New Roman" w:eastAsia="宋体" w:cs="Times New Roman"/>
                <w:kern w:val="0"/>
                <w:sz w:val="20"/>
                <w:szCs w:val="20"/>
              </w:rPr>
            </w:pPr>
          </w:p>
        </w:tc>
      </w:tr>
      <w:tr w14:paraId="5387A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B1AC30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lang w:val="en-US" w:eastAsia="zh-CN"/>
              </w:rPr>
              <w:t>4</w:t>
            </w:r>
            <w:r>
              <w:rPr>
                <w:rFonts w:hint="eastAsia" w:ascii="Times New Roman" w:hAnsi="Times New Roman" w:eastAsia="宋体" w:cs="Times New Roman"/>
                <w:kern w:val="0"/>
                <w:sz w:val="20"/>
                <w:szCs w:val="20"/>
              </w:rPr>
              <w:t>）</w:t>
            </w:r>
          </w:p>
        </w:tc>
        <w:tc>
          <w:tcPr>
            <w:tcW w:w="3246" w:type="dxa"/>
            <w:shd w:val="clear" w:color="auto" w:fill="auto"/>
            <w:noWrap/>
            <w:tcMar>
              <w:top w:w="15" w:type="dxa"/>
              <w:left w:w="15" w:type="dxa"/>
              <w:right w:w="15" w:type="dxa"/>
            </w:tcMar>
            <w:vAlign w:val="center"/>
          </w:tcPr>
          <w:p w14:paraId="6093E347">
            <w:pPr>
              <w:widowControl/>
              <w:jc w:val="center"/>
              <w:textAlignment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智能化监管平台</w:t>
            </w:r>
          </w:p>
          <w:p w14:paraId="501B898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（大数据中心、信息化管理平台）</w:t>
            </w:r>
          </w:p>
        </w:tc>
        <w:tc>
          <w:tcPr>
            <w:tcW w:w="1327" w:type="dxa"/>
            <w:shd w:val="clear" w:color="auto" w:fill="auto"/>
            <w:noWrap/>
            <w:tcMar>
              <w:top w:w="15" w:type="dxa"/>
              <w:left w:w="15" w:type="dxa"/>
              <w:right w:w="15" w:type="dxa"/>
            </w:tcMar>
            <w:vAlign w:val="center"/>
          </w:tcPr>
          <w:p w14:paraId="6C424D51">
            <w:pPr>
              <w:jc w:val="center"/>
              <w:rPr>
                <w:rFonts w:ascii="Times New Roman" w:hAnsi="Times New Roman" w:eastAsia="宋体" w:cs="Times New Roman"/>
                <w:sz w:val="20"/>
                <w:szCs w:val="20"/>
              </w:rPr>
            </w:pPr>
            <w:r>
              <w:rPr>
                <w:rFonts w:ascii="Times New Roman" w:hAnsi="Times New Roman" w:eastAsia="宋体" w:cs="Times New Roman"/>
                <w:sz w:val="20"/>
                <w:szCs w:val="20"/>
              </w:rPr>
              <w:t>项</w:t>
            </w:r>
          </w:p>
        </w:tc>
        <w:tc>
          <w:tcPr>
            <w:tcW w:w="1264" w:type="dxa"/>
            <w:shd w:val="clear" w:color="auto" w:fill="auto"/>
            <w:noWrap/>
            <w:tcMar>
              <w:top w:w="15" w:type="dxa"/>
              <w:left w:w="15" w:type="dxa"/>
              <w:right w:w="15" w:type="dxa"/>
            </w:tcMar>
            <w:vAlign w:val="center"/>
          </w:tcPr>
          <w:p w14:paraId="737CC3E8">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1334" w:type="dxa"/>
            <w:shd w:val="clear" w:color="auto" w:fill="auto"/>
            <w:noWrap/>
            <w:tcMar>
              <w:top w:w="15" w:type="dxa"/>
              <w:left w:w="15" w:type="dxa"/>
              <w:right w:w="15" w:type="dxa"/>
            </w:tcMar>
            <w:vAlign w:val="center"/>
          </w:tcPr>
          <w:p w14:paraId="0500D2EA">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600</w:t>
            </w:r>
          </w:p>
        </w:tc>
        <w:tc>
          <w:tcPr>
            <w:tcW w:w="1152" w:type="dxa"/>
            <w:gridSpan w:val="2"/>
            <w:shd w:val="clear" w:color="auto" w:fill="auto"/>
            <w:noWrap/>
            <w:tcMar>
              <w:top w:w="15" w:type="dxa"/>
              <w:left w:w="15" w:type="dxa"/>
              <w:right w:w="15" w:type="dxa"/>
            </w:tcMar>
            <w:vAlign w:val="center"/>
          </w:tcPr>
          <w:p w14:paraId="3DF8358B">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600</w:t>
            </w:r>
          </w:p>
        </w:tc>
        <w:tc>
          <w:tcPr>
            <w:tcW w:w="992" w:type="dxa"/>
            <w:gridSpan w:val="2"/>
            <w:shd w:val="clear" w:color="auto" w:fill="auto"/>
            <w:noWrap/>
            <w:tcMar>
              <w:top w:w="15" w:type="dxa"/>
              <w:left w:w="15" w:type="dxa"/>
              <w:right w:w="15" w:type="dxa"/>
            </w:tcMar>
            <w:vAlign w:val="center"/>
          </w:tcPr>
          <w:p w14:paraId="071445B2">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1214" w:type="dxa"/>
            <w:gridSpan w:val="3"/>
            <w:shd w:val="clear" w:color="auto" w:fill="auto"/>
            <w:noWrap/>
            <w:tcMar>
              <w:top w:w="15" w:type="dxa"/>
              <w:left w:w="15" w:type="dxa"/>
              <w:right w:w="15" w:type="dxa"/>
            </w:tcMar>
            <w:vAlign w:val="center"/>
          </w:tcPr>
          <w:p w14:paraId="46067E54">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600</w:t>
            </w:r>
          </w:p>
        </w:tc>
        <w:tc>
          <w:tcPr>
            <w:tcW w:w="912" w:type="dxa"/>
            <w:gridSpan w:val="2"/>
            <w:shd w:val="clear" w:color="auto" w:fill="auto"/>
            <w:noWrap/>
            <w:tcMar>
              <w:top w:w="15" w:type="dxa"/>
              <w:left w:w="15" w:type="dxa"/>
              <w:right w:w="15" w:type="dxa"/>
            </w:tcMar>
            <w:vAlign w:val="center"/>
          </w:tcPr>
          <w:p w14:paraId="3FD8843E">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7F9B35B4">
            <w:pPr>
              <w:widowControl/>
              <w:jc w:val="center"/>
              <w:textAlignment w:val="center"/>
              <w:rPr>
                <w:rFonts w:ascii="Times New Roman" w:hAnsi="Times New Roman" w:eastAsia="宋体" w:cs="Times New Roman"/>
                <w:kern w:val="0"/>
                <w:sz w:val="20"/>
                <w:szCs w:val="20"/>
              </w:rPr>
            </w:pPr>
          </w:p>
        </w:tc>
        <w:tc>
          <w:tcPr>
            <w:tcW w:w="955" w:type="dxa"/>
            <w:gridSpan w:val="3"/>
            <w:shd w:val="clear" w:color="auto" w:fill="auto"/>
            <w:noWrap/>
            <w:tcMar>
              <w:top w:w="15" w:type="dxa"/>
              <w:left w:w="15" w:type="dxa"/>
              <w:right w:w="15" w:type="dxa"/>
            </w:tcMar>
            <w:vAlign w:val="center"/>
          </w:tcPr>
          <w:p w14:paraId="488C3E65">
            <w:pPr>
              <w:widowControl/>
              <w:jc w:val="center"/>
              <w:textAlignment w:val="center"/>
              <w:rPr>
                <w:rFonts w:ascii="Times New Roman" w:hAnsi="Times New Roman" w:eastAsia="宋体" w:cs="Times New Roman"/>
                <w:kern w:val="0"/>
                <w:sz w:val="20"/>
                <w:szCs w:val="20"/>
              </w:rPr>
            </w:pPr>
          </w:p>
        </w:tc>
      </w:tr>
      <w:tr w14:paraId="56E12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F392790">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5）</w:t>
            </w:r>
          </w:p>
        </w:tc>
        <w:tc>
          <w:tcPr>
            <w:tcW w:w="3246" w:type="dxa"/>
            <w:shd w:val="clear" w:color="auto" w:fill="auto"/>
            <w:noWrap/>
            <w:tcMar>
              <w:top w:w="15" w:type="dxa"/>
              <w:left w:w="15" w:type="dxa"/>
              <w:right w:w="15" w:type="dxa"/>
            </w:tcMar>
            <w:vAlign w:val="center"/>
          </w:tcPr>
          <w:p w14:paraId="59AD09A1">
            <w:pPr>
              <w:widowControl/>
              <w:jc w:val="center"/>
              <w:textAlignment w:val="center"/>
              <w:rPr>
                <w:rFonts w:hint="eastAsia" w:ascii="Times New Roman" w:hAnsi="Times New Roman" w:eastAsia="宋体" w:cs="Times New Roman"/>
                <w:kern w:val="0"/>
                <w:sz w:val="20"/>
                <w:szCs w:val="20"/>
                <w:lang w:eastAsia="zh-CN"/>
              </w:rPr>
            </w:pPr>
            <w:r>
              <w:rPr>
                <w:rFonts w:hint="eastAsia" w:ascii="Times New Roman" w:hAnsi="Times New Roman" w:eastAsia="宋体" w:cs="Times New Roman"/>
                <w:kern w:val="0"/>
                <w:sz w:val="20"/>
                <w:szCs w:val="20"/>
                <w:lang w:eastAsia="zh-CN"/>
              </w:rPr>
              <w:t>卫星监测预警系统</w:t>
            </w:r>
          </w:p>
        </w:tc>
        <w:tc>
          <w:tcPr>
            <w:tcW w:w="1327" w:type="dxa"/>
            <w:shd w:val="clear" w:color="auto" w:fill="auto"/>
            <w:noWrap/>
            <w:tcMar>
              <w:top w:w="15" w:type="dxa"/>
              <w:left w:w="15" w:type="dxa"/>
              <w:right w:w="15" w:type="dxa"/>
            </w:tcMar>
            <w:vAlign w:val="center"/>
          </w:tcPr>
          <w:p w14:paraId="428C48C2">
            <w:pPr>
              <w:jc w:val="center"/>
              <w:rPr>
                <w:rFonts w:hint="eastAsia" w:ascii="Times New Roman" w:hAnsi="Times New Roman" w:eastAsia="宋体" w:cs="Times New Roman"/>
                <w:sz w:val="20"/>
                <w:szCs w:val="20"/>
                <w:lang w:eastAsia="zh-CN"/>
              </w:rPr>
            </w:pPr>
            <w:r>
              <w:rPr>
                <w:rFonts w:hint="eastAsia" w:ascii="Times New Roman" w:hAnsi="Times New Roman" w:eastAsia="宋体" w:cs="Times New Roman"/>
                <w:sz w:val="20"/>
                <w:szCs w:val="20"/>
                <w:lang w:eastAsia="zh-CN"/>
              </w:rPr>
              <w:t>套</w:t>
            </w:r>
          </w:p>
        </w:tc>
        <w:tc>
          <w:tcPr>
            <w:tcW w:w="1264" w:type="dxa"/>
            <w:shd w:val="clear" w:color="auto" w:fill="auto"/>
            <w:noWrap/>
            <w:tcMar>
              <w:top w:w="15" w:type="dxa"/>
              <w:left w:w="15" w:type="dxa"/>
              <w:right w:w="15" w:type="dxa"/>
            </w:tcMar>
            <w:vAlign w:val="center"/>
          </w:tcPr>
          <w:p w14:paraId="191AA6F7">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1334" w:type="dxa"/>
            <w:shd w:val="clear" w:color="auto" w:fill="auto"/>
            <w:noWrap/>
            <w:tcMar>
              <w:top w:w="15" w:type="dxa"/>
              <w:left w:w="15" w:type="dxa"/>
              <w:right w:w="15" w:type="dxa"/>
            </w:tcMar>
            <w:vAlign w:val="center"/>
          </w:tcPr>
          <w:p w14:paraId="01C91CBD">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200</w:t>
            </w:r>
          </w:p>
        </w:tc>
        <w:tc>
          <w:tcPr>
            <w:tcW w:w="1152" w:type="dxa"/>
            <w:gridSpan w:val="2"/>
            <w:shd w:val="clear" w:color="auto" w:fill="auto"/>
            <w:noWrap/>
            <w:tcMar>
              <w:top w:w="15" w:type="dxa"/>
              <w:left w:w="15" w:type="dxa"/>
              <w:right w:w="15" w:type="dxa"/>
            </w:tcMar>
            <w:vAlign w:val="center"/>
          </w:tcPr>
          <w:p w14:paraId="0DEB207A">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200</w:t>
            </w:r>
          </w:p>
        </w:tc>
        <w:tc>
          <w:tcPr>
            <w:tcW w:w="992" w:type="dxa"/>
            <w:gridSpan w:val="2"/>
            <w:shd w:val="clear" w:color="auto" w:fill="auto"/>
            <w:noWrap/>
            <w:tcMar>
              <w:top w:w="15" w:type="dxa"/>
              <w:left w:w="15" w:type="dxa"/>
              <w:right w:w="15" w:type="dxa"/>
            </w:tcMar>
            <w:vAlign w:val="center"/>
          </w:tcPr>
          <w:p w14:paraId="1F1B4E31">
            <w:pPr>
              <w:jc w:val="center"/>
              <w:rPr>
                <w:rFonts w:hint="eastAsia"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0C3609F">
            <w:pPr>
              <w:widowControl/>
              <w:jc w:val="center"/>
              <w:textAlignment w:val="center"/>
              <w:rPr>
                <w:rFonts w:hint="eastAsia" w:ascii="Times New Roman" w:hAnsi="Times New Roman" w:eastAsia="宋体" w:cs="Times New Roman"/>
                <w:kern w:val="0"/>
                <w:sz w:val="20"/>
                <w:szCs w:val="20"/>
              </w:rPr>
            </w:pPr>
          </w:p>
        </w:tc>
        <w:tc>
          <w:tcPr>
            <w:tcW w:w="912" w:type="dxa"/>
            <w:gridSpan w:val="2"/>
            <w:shd w:val="clear" w:color="auto" w:fill="auto"/>
            <w:noWrap/>
            <w:tcMar>
              <w:top w:w="15" w:type="dxa"/>
              <w:left w:w="15" w:type="dxa"/>
              <w:right w:w="15" w:type="dxa"/>
            </w:tcMar>
            <w:vAlign w:val="center"/>
          </w:tcPr>
          <w:p w14:paraId="6ADAE2F3">
            <w:pPr>
              <w:jc w:val="cente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w:t>
            </w:r>
          </w:p>
        </w:tc>
        <w:tc>
          <w:tcPr>
            <w:tcW w:w="962" w:type="dxa"/>
            <w:gridSpan w:val="2"/>
            <w:shd w:val="clear" w:color="auto" w:fill="auto"/>
            <w:noWrap/>
            <w:tcMar>
              <w:top w:w="15" w:type="dxa"/>
              <w:left w:w="15" w:type="dxa"/>
              <w:right w:w="15" w:type="dxa"/>
            </w:tcMar>
            <w:vAlign w:val="center"/>
          </w:tcPr>
          <w:p w14:paraId="1A7DAF81">
            <w:pPr>
              <w:widowControl/>
              <w:jc w:val="center"/>
              <w:textAlignment w:val="center"/>
              <w:rPr>
                <w:rFonts w:hint="default" w:ascii="Times New Roman" w:hAnsi="Times New Roman" w:eastAsia="宋体" w:cs="Times New Roman"/>
                <w:kern w:val="0"/>
                <w:sz w:val="20"/>
                <w:szCs w:val="20"/>
                <w:lang w:val="en-US" w:eastAsia="zh-CN"/>
              </w:rPr>
            </w:pPr>
            <w:r>
              <w:rPr>
                <w:rFonts w:hint="eastAsia" w:ascii="Times New Roman" w:hAnsi="Times New Roman" w:eastAsia="宋体" w:cs="Times New Roman"/>
                <w:kern w:val="0"/>
                <w:sz w:val="20"/>
                <w:szCs w:val="20"/>
                <w:lang w:val="en-US" w:eastAsia="zh-CN"/>
              </w:rPr>
              <w:t>200</w:t>
            </w:r>
          </w:p>
        </w:tc>
        <w:tc>
          <w:tcPr>
            <w:tcW w:w="955" w:type="dxa"/>
            <w:gridSpan w:val="3"/>
            <w:shd w:val="clear" w:color="auto" w:fill="auto"/>
            <w:noWrap/>
            <w:tcMar>
              <w:top w:w="15" w:type="dxa"/>
              <w:left w:w="15" w:type="dxa"/>
              <w:right w:w="15" w:type="dxa"/>
            </w:tcMar>
            <w:vAlign w:val="center"/>
          </w:tcPr>
          <w:p w14:paraId="2DA52395">
            <w:pPr>
              <w:widowControl/>
              <w:jc w:val="center"/>
              <w:textAlignment w:val="center"/>
              <w:rPr>
                <w:rFonts w:ascii="Times New Roman" w:hAnsi="Times New Roman" w:eastAsia="宋体" w:cs="Times New Roman"/>
                <w:kern w:val="0"/>
                <w:sz w:val="20"/>
                <w:szCs w:val="20"/>
              </w:rPr>
            </w:pPr>
          </w:p>
        </w:tc>
      </w:tr>
      <w:tr w14:paraId="38EB7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077B26C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793E1F59">
            <w:pPr>
              <w:widowControl/>
              <w:jc w:val="center"/>
              <w:textAlignment w:val="center"/>
              <w:rPr>
                <w:rFonts w:ascii="Times New Roman" w:hAnsi="Times New Roman" w:eastAsia="宋体" w:cs="Times New Roman"/>
                <w:sz w:val="20"/>
                <w:szCs w:val="20"/>
              </w:rPr>
            </w:pPr>
            <w:r>
              <w:rPr>
                <w:rStyle w:val="53"/>
                <w:rFonts w:hint="default"/>
                <w:color w:val="auto"/>
              </w:rPr>
              <w:t>数字孪生</w:t>
            </w:r>
          </w:p>
        </w:tc>
        <w:tc>
          <w:tcPr>
            <w:tcW w:w="1327" w:type="dxa"/>
            <w:shd w:val="clear" w:color="auto" w:fill="auto"/>
            <w:noWrap/>
            <w:tcMar>
              <w:top w:w="15" w:type="dxa"/>
              <w:left w:w="15" w:type="dxa"/>
              <w:right w:w="15" w:type="dxa"/>
            </w:tcMar>
            <w:vAlign w:val="center"/>
          </w:tcPr>
          <w:p w14:paraId="03E4A22A">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119A6BBB">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8D90968">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57F2992">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5BFD5FB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CA1ECFA">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F9941C6">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27640D97">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2CB11EE">
            <w:pPr>
              <w:jc w:val="center"/>
              <w:rPr>
                <w:rFonts w:ascii="Times New Roman" w:hAnsi="Times New Roman" w:eastAsia="宋体" w:cs="Times New Roman"/>
                <w:sz w:val="20"/>
                <w:szCs w:val="20"/>
              </w:rPr>
            </w:pPr>
          </w:p>
        </w:tc>
      </w:tr>
      <w:tr w14:paraId="7844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D5A2B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r>
              <w:rPr>
                <w:rStyle w:val="53"/>
                <w:rFonts w:hint="default"/>
                <w:color w:val="auto"/>
              </w:rPr>
              <w:t>）</w:t>
            </w:r>
          </w:p>
        </w:tc>
        <w:tc>
          <w:tcPr>
            <w:tcW w:w="3246" w:type="dxa"/>
            <w:shd w:val="clear" w:color="auto" w:fill="auto"/>
            <w:noWrap/>
            <w:tcMar>
              <w:top w:w="15" w:type="dxa"/>
              <w:left w:w="15" w:type="dxa"/>
              <w:right w:w="15" w:type="dxa"/>
            </w:tcMar>
            <w:vAlign w:val="center"/>
          </w:tcPr>
          <w:p w14:paraId="289FBC7A">
            <w:pPr>
              <w:widowControl/>
              <w:jc w:val="center"/>
              <w:textAlignment w:val="center"/>
              <w:rPr>
                <w:rFonts w:ascii="Times New Roman" w:hAnsi="Times New Roman" w:eastAsia="宋体" w:cs="Times New Roman"/>
                <w:sz w:val="20"/>
                <w:szCs w:val="20"/>
              </w:rPr>
            </w:pPr>
            <w:r>
              <w:rPr>
                <w:rStyle w:val="53"/>
                <w:rFonts w:hint="default"/>
                <w:color w:val="auto"/>
              </w:rPr>
              <w:t>试点</w:t>
            </w:r>
            <w:r>
              <w:rPr>
                <w:rStyle w:val="54"/>
                <w:rFonts w:eastAsia="宋体"/>
                <w:color w:val="auto"/>
              </w:rPr>
              <w:t>2</w:t>
            </w:r>
            <w:r>
              <w:rPr>
                <w:rStyle w:val="53"/>
                <w:rFonts w:hint="default"/>
                <w:color w:val="auto"/>
              </w:rPr>
              <w:t>个县（区）</w:t>
            </w:r>
          </w:p>
        </w:tc>
        <w:tc>
          <w:tcPr>
            <w:tcW w:w="1327" w:type="dxa"/>
            <w:shd w:val="clear" w:color="auto" w:fill="auto"/>
            <w:noWrap/>
            <w:tcMar>
              <w:top w:w="15" w:type="dxa"/>
              <w:left w:w="15" w:type="dxa"/>
              <w:right w:w="15" w:type="dxa"/>
            </w:tcMar>
            <w:vAlign w:val="center"/>
          </w:tcPr>
          <w:p w14:paraId="33401512">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万亩</w:t>
            </w:r>
          </w:p>
        </w:tc>
        <w:tc>
          <w:tcPr>
            <w:tcW w:w="1264" w:type="dxa"/>
            <w:shd w:val="clear" w:color="auto" w:fill="auto"/>
            <w:noWrap/>
            <w:tcMar>
              <w:top w:w="15" w:type="dxa"/>
              <w:left w:w="15" w:type="dxa"/>
              <w:right w:w="15" w:type="dxa"/>
            </w:tcMar>
            <w:vAlign w:val="center"/>
          </w:tcPr>
          <w:p w14:paraId="20E6FF3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1334" w:type="dxa"/>
            <w:shd w:val="clear" w:color="auto" w:fill="auto"/>
            <w:noWrap/>
            <w:tcMar>
              <w:top w:w="15" w:type="dxa"/>
              <w:left w:w="15" w:type="dxa"/>
              <w:right w:w="15" w:type="dxa"/>
            </w:tcMar>
            <w:vAlign w:val="center"/>
          </w:tcPr>
          <w:p w14:paraId="53601A60">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A76BD2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2000</w:t>
            </w:r>
          </w:p>
        </w:tc>
        <w:tc>
          <w:tcPr>
            <w:tcW w:w="992" w:type="dxa"/>
            <w:gridSpan w:val="2"/>
            <w:shd w:val="clear" w:color="auto" w:fill="auto"/>
            <w:noWrap/>
            <w:tcMar>
              <w:top w:w="15" w:type="dxa"/>
              <w:left w:w="15" w:type="dxa"/>
              <w:right w:w="15" w:type="dxa"/>
            </w:tcMar>
            <w:vAlign w:val="center"/>
          </w:tcPr>
          <w:p w14:paraId="55B494D6">
            <w:pPr>
              <w:jc w:val="center"/>
              <w:rPr>
                <w:rFonts w:hint="default"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1000</w:t>
            </w:r>
          </w:p>
        </w:tc>
        <w:tc>
          <w:tcPr>
            <w:tcW w:w="1214" w:type="dxa"/>
            <w:gridSpan w:val="3"/>
            <w:shd w:val="clear" w:color="auto" w:fill="auto"/>
            <w:noWrap/>
            <w:tcMar>
              <w:top w:w="15" w:type="dxa"/>
              <w:left w:w="15" w:type="dxa"/>
              <w:right w:w="15" w:type="dxa"/>
            </w:tcMar>
            <w:vAlign w:val="center"/>
          </w:tcPr>
          <w:p w14:paraId="3FBD8BD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2000</w:t>
            </w:r>
          </w:p>
        </w:tc>
        <w:tc>
          <w:tcPr>
            <w:tcW w:w="912" w:type="dxa"/>
            <w:gridSpan w:val="2"/>
            <w:shd w:val="clear" w:color="auto" w:fill="auto"/>
            <w:noWrap/>
            <w:tcMar>
              <w:top w:w="15" w:type="dxa"/>
              <w:left w:w="15" w:type="dxa"/>
              <w:right w:w="15" w:type="dxa"/>
            </w:tcMar>
            <w:vAlign w:val="center"/>
          </w:tcPr>
          <w:p w14:paraId="177E64AF">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0D3FC4AB">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3CCA336">
            <w:pPr>
              <w:jc w:val="center"/>
              <w:rPr>
                <w:rFonts w:ascii="Times New Roman" w:hAnsi="Times New Roman" w:eastAsia="宋体" w:cs="Times New Roman"/>
                <w:sz w:val="20"/>
                <w:szCs w:val="20"/>
              </w:rPr>
            </w:pPr>
          </w:p>
        </w:tc>
      </w:tr>
      <w:tr w14:paraId="529A7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03F629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r>
              <w:rPr>
                <w:rStyle w:val="53"/>
                <w:rFonts w:hint="default"/>
                <w:color w:val="auto"/>
              </w:rPr>
              <w:t>）</w:t>
            </w:r>
          </w:p>
        </w:tc>
        <w:tc>
          <w:tcPr>
            <w:tcW w:w="3246" w:type="dxa"/>
            <w:shd w:val="clear" w:color="auto" w:fill="auto"/>
            <w:noWrap/>
            <w:tcMar>
              <w:top w:w="15" w:type="dxa"/>
              <w:left w:w="15" w:type="dxa"/>
              <w:right w:w="15" w:type="dxa"/>
            </w:tcMar>
            <w:vAlign w:val="center"/>
          </w:tcPr>
          <w:p w14:paraId="267227BB">
            <w:pPr>
              <w:widowControl/>
              <w:jc w:val="center"/>
              <w:textAlignment w:val="center"/>
              <w:rPr>
                <w:rFonts w:ascii="Times New Roman" w:hAnsi="Times New Roman" w:eastAsia="宋体" w:cs="Times New Roman"/>
                <w:sz w:val="20"/>
                <w:szCs w:val="20"/>
              </w:rPr>
            </w:pPr>
            <w:r>
              <w:rPr>
                <w:rStyle w:val="53"/>
                <w:rFonts w:hint="default"/>
                <w:color w:val="auto"/>
              </w:rPr>
              <w:t>全市一体化</w:t>
            </w:r>
          </w:p>
        </w:tc>
        <w:tc>
          <w:tcPr>
            <w:tcW w:w="1327" w:type="dxa"/>
            <w:shd w:val="clear" w:color="auto" w:fill="auto"/>
            <w:noWrap/>
            <w:tcMar>
              <w:top w:w="15" w:type="dxa"/>
              <w:left w:w="15" w:type="dxa"/>
              <w:right w:w="15" w:type="dxa"/>
            </w:tcMar>
            <w:vAlign w:val="center"/>
          </w:tcPr>
          <w:p w14:paraId="0513E798">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1513533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6ACA043A">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4A714C9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5000</w:t>
            </w:r>
          </w:p>
        </w:tc>
        <w:tc>
          <w:tcPr>
            <w:tcW w:w="992" w:type="dxa"/>
            <w:gridSpan w:val="2"/>
            <w:shd w:val="clear" w:color="auto" w:fill="auto"/>
            <w:noWrap/>
            <w:tcMar>
              <w:top w:w="15" w:type="dxa"/>
              <w:left w:w="15" w:type="dxa"/>
              <w:right w:w="15" w:type="dxa"/>
            </w:tcMar>
            <w:vAlign w:val="center"/>
          </w:tcPr>
          <w:p w14:paraId="78F431C1">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1E5DE5AC">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22D237A">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59FCC13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5000</w:t>
            </w:r>
          </w:p>
        </w:tc>
        <w:tc>
          <w:tcPr>
            <w:tcW w:w="955" w:type="dxa"/>
            <w:gridSpan w:val="3"/>
            <w:shd w:val="clear" w:color="auto" w:fill="auto"/>
            <w:noWrap/>
            <w:tcMar>
              <w:top w:w="15" w:type="dxa"/>
              <w:left w:w="15" w:type="dxa"/>
              <w:right w:w="15" w:type="dxa"/>
            </w:tcMar>
            <w:vAlign w:val="center"/>
          </w:tcPr>
          <w:p w14:paraId="79FC3573">
            <w:pPr>
              <w:widowControl/>
              <w:jc w:val="center"/>
              <w:textAlignment w:val="center"/>
              <w:rPr>
                <w:rFonts w:ascii="Times New Roman" w:hAnsi="Times New Roman" w:eastAsia="宋体" w:cs="Times New Roman"/>
                <w:kern w:val="0"/>
                <w:sz w:val="20"/>
                <w:szCs w:val="20"/>
              </w:rPr>
            </w:pPr>
          </w:p>
        </w:tc>
      </w:tr>
      <w:tr w14:paraId="11DD1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4FE872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6C19BD72">
            <w:pPr>
              <w:widowControl/>
              <w:jc w:val="center"/>
              <w:textAlignment w:val="center"/>
              <w:rPr>
                <w:rFonts w:ascii="Times New Roman" w:hAnsi="Times New Roman" w:eastAsia="宋体" w:cs="Times New Roman"/>
                <w:sz w:val="20"/>
                <w:szCs w:val="20"/>
              </w:rPr>
            </w:pPr>
            <w:r>
              <w:rPr>
                <w:rStyle w:val="53"/>
                <w:rFonts w:hint="default"/>
                <w:color w:val="auto"/>
              </w:rPr>
              <w:t>执法监督体系建设工程</w:t>
            </w:r>
          </w:p>
        </w:tc>
        <w:tc>
          <w:tcPr>
            <w:tcW w:w="1327" w:type="dxa"/>
            <w:shd w:val="clear" w:color="auto" w:fill="auto"/>
            <w:noWrap/>
            <w:tcMar>
              <w:top w:w="15" w:type="dxa"/>
              <w:left w:w="15" w:type="dxa"/>
              <w:right w:w="15" w:type="dxa"/>
            </w:tcMar>
            <w:vAlign w:val="center"/>
          </w:tcPr>
          <w:p w14:paraId="7DE61E14">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1F979594">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37BB4A5">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478E81C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072A36D">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B3B3BF3">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4ECB4B1">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6FB7323B">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2DFF42B">
            <w:pPr>
              <w:jc w:val="center"/>
              <w:rPr>
                <w:rFonts w:ascii="Times New Roman" w:hAnsi="Times New Roman" w:eastAsia="宋体" w:cs="Times New Roman"/>
                <w:sz w:val="20"/>
                <w:szCs w:val="20"/>
              </w:rPr>
            </w:pPr>
          </w:p>
        </w:tc>
      </w:tr>
      <w:tr w14:paraId="4AAB9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DBF9F4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04F13F49">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执法培训</w:t>
            </w:r>
          </w:p>
        </w:tc>
        <w:tc>
          <w:tcPr>
            <w:tcW w:w="1327" w:type="dxa"/>
            <w:shd w:val="clear" w:color="auto" w:fill="auto"/>
            <w:noWrap/>
            <w:tcMar>
              <w:top w:w="15" w:type="dxa"/>
              <w:left w:w="15" w:type="dxa"/>
              <w:right w:w="15" w:type="dxa"/>
            </w:tcMar>
            <w:vAlign w:val="center"/>
          </w:tcPr>
          <w:p w14:paraId="3AE4049A">
            <w:pPr>
              <w:widowControl/>
              <w:jc w:val="center"/>
              <w:textAlignment w:val="center"/>
              <w:rPr>
                <w:rFonts w:ascii="Times New Roman" w:hAnsi="Times New Roman" w:eastAsia="宋体" w:cs="Times New Roman"/>
                <w:sz w:val="20"/>
                <w:szCs w:val="20"/>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36867F4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78CFBCF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152" w:type="dxa"/>
            <w:gridSpan w:val="2"/>
            <w:shd w:val="clear" w:color="auto" w:fill="auto"/>
            <w:noWrap/>
            <w:tcMar>
              <w:top w:w="15" w:type="dxa"/>
              <w:left w:w="15" w:type="dxa"/>
              <w:right w:w="15" w:type="dxa"/>
            </w:tcMar>
            <w:vAlign w:val="center"/>
          </w:tcPr>
          <w:p w14:paraId="5FB32B3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992" w:type="dxa"/>
            <w:gridSpan w:val="2"/>
            <w:shd w:val="clear" w:color="auto" w:fill="auto"/>
            <w:noWrap/>
            <w:tcMar>
              <w:top w:w="15" w:type="dxa"/>
              <w:left w:w="15" w:type="dxa"/>
              <w:right w:w="15" w:type="dxa"/>
            </w:tcMar>
            <w:vAlign w:val="center"/>
          </w:tcPr>
          <w:p w14:paraId="789A541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1EFFD3F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12" w:type="dxa"/>
            <w:gridSpan w:val="2"/>
            <w:shd w:val="clear" w:color="auto" w:fill="auto"/>
            <w:noWrap/>
            <w:tcMar>
              <w:top w:w="15" w:type="dxa"/>
              <w:left w:w="15" w:type="dxa"/>
              <w:right w:w="15" w:type="dxa"/>
            </w:tcMar>
            <w:vAlign w:val="center"/>
          </w:tcPr>
          <w:p w14:paraId="72DDBB9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sz w:val="20"/>
                <w:szCs w:val="20"/>
              </w:rPr>
              <w:t>5</w:t>
            </w:r>
          </w:p>
        </w:tc>
        <w:tc>
          <w:tcPr>
            <w:tcW w:w="962" w:type="dxa"/>
            <w:gridSpan w:val="2"/>
            <w:shd w:val="clear" w:color="auto" w:fill="auto"/>
            <w:noWrap/>
            <w:tcMar>
              <w:top w:w="15" w:type="dxa"/>
              <w:left w:w="15" w:type="dxa"/>
              <w:right w:w="15" w:type="dxa"/>
            </w:tcMar>
            <w:vAlign w:val="center"/>
          </w:tcPr>
          <w:p w14:paraId="46A106B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55" w:type="dxa"/>
            <w:gridSpan w:val="3"/>
            <w:shd w:val="clear" w:color="auto" w:fill="auto"/>
            <w:noWrap/>
            <w:tcMar>
              <w:top w:w="15" w:type="dxa"/>
              <w:left w:w="15" w:type="dxa"/>
              <w:right w:w="15" w:type="dxa"/>
            </w:tcMar>
            <w:vAlign w:val="center"/>
          </w:tcPr>
          <w:p w14:paraId="64B7331D">
            <w:pPr>
              <w:widowControl/>
              <w:jc w:val="center"/>
              <w:textAlignment w:val="center"/>
              <w:rPr>
                <w:rFonts w:ascii="Times New Roman" w:hAnsi="Times New Roman" w:eastAsia="宋体" w:cs="Times New Roman"/>
                <w:kern w:val="0"/>
                <w:sz w:val="20"/>
                <w:szCs w:val="20"/>
              </w:rPr>
            </w:pPr>
          </w:p>
        </w:tc>
      </w:tr>
      <w:tr w14:paraId="18029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092B6857">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5C2B1CCF">
            <w:pPr>
              <w:widowControl/>
              <w:jc w:val="center"/>
              <w:textAlignment w:val="center"/>
              <w:rPr>
                <w:rFonts w:ascii="Times New Roman" w:hAnsi="Times New Roman" w:eastAsia="宋体" w:cs="Times New Roman"/>
                <w:sz w:val="20"/>
                <w:szCs w:val="20"/>
              </w:rPr>
            </w:pPr>
            <w:r>
              <w:rPr>
                <w:rFonts w:hint="eastAsia" w:ascii="宋体" w:hAnsi="宋体" w:eastAsia="宋体" w:cs="宋体"/>
                <w:kern w:val="0"/>
                <w:sz w:val="20"/>
                <w:szCs w:val="20"/>
              </w:rPr>
              <w:t>执法监督设备</w:t>
            </w:r>
          </w:p>
        </w:tc>
        <w:tc>
          <w:tcPr>
            <w:tcW w:w="1327" w:type="dxa"/>
            <w:shd w:val="clear" w:color="auto" w:fill="auto"/>
            <w:noWrap/>
            <w:tcMar>
              <w:top w:w="15" w:type="dxa"/>
              <w:left w:w="15" w:type="dxa"/>
              <w:right w:w="15" w:type="dxa"/>
            </w:tcMar>
            <w:vAlign w:val="center"/>
          </w:tcPr>
          <w:p w14:paraId="3F383B30">
            <w:pPr>
              <w:widowControl/>
              <w:jc w:val="center"/>
              <w:textAlignment w:val="center"/>
              <w:rPr>
                <w:rFonts w:ascii="Times New Roman" w:hAnsi="Times New Roman" w:eastAsia="宋体" w:cs="Times New Roman"/>
                <w:sz w:val="20"/>
                <w:szCs w:val="20"/>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278D217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15786A3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152" w:type="dxa"/>
            <w:gridSpan w:val="2"/>
            <w:shd w:val="clear" w:color="auto" w:fill="auto"/>
            <w:noWrap/>
            <w:tcMar>
              <w:top w:w="15" w:type="dxa"/>
              <w:left w:w="15" w:type="dxa"/>
              <w:right w:w="15" w:type="dxa"/>
            </w:tcMar>
            <w:vAlign w:val="center"/>
          </w:tcPr>
          <w:p w14:paraId="004EFF4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110</w:t>
            </w:r>
          </w:p>
        </w:tc>
        <w:tc>
          <w:tcPr>
            <w:tcW w:w="992" w:type="dxa"/>
            <w:gridSpan w:val="2"/>
            <w:shd w:val="clear" w:color="auto" w:fill="auto"/>
            <w:noWrap/>
            <w:tcMar>
              <w:top w:w="15" w:type="dxa"/>
              <w:left w:w="15" w:type="dxa"/>
              <w:right w:w="15" w:type="dxa"/>
            </w:tcMar>
            <w:vAlign w:val="center"/>
          </w:tcPr>
          <w:p w14:paraId="503F72F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61782DE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12" w:type="dxa"/>
            <w:gridSpan w:val="2"/>
            <w:shd w:val="clear" w:color="auto" w:fill="auto"/>
            <w:noWrap/>
            <w:tcMar>
              <w:top w:w="15" w:type="dxa"/>
              <w:left w:w="15" w:type="dxa"/>
              <w:right w:w="15" w:type="dxa"/>
            </w:tcMar>
            <w:vAlign w:val="center"/>
          </w:tcPr>
          <w:p w14:paraId="7119EB5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962" w:type="dxa"/>
            <w:gridSpan w:val="2"/>
            <w:shd w:val="clear" w:color="auto" w:fill="auto"/>
            <w:noWrap/>
            <w:tcMar>
              <w:top w:w="15" w:type="dxa"/>
              <w:left w:w="15" w:type="dxa"/>
              <w:right w:w="15" w:type="dxa"/>
            </w:tcMar>
            <w:vAlign w:val="center"/>
          </w:tcPr>
          <w:p w14:paraId="2475201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w:t>
            </w:r>
          </w:p>
        </w:tc>
        <w:tc>
          <w:tcPr>
            <w:tcW w:w="955" w:type="dxa"/>
            <w:gridSpan w:val="3"/>
            <w:shd w:val="clear" w:color="auto" w:fill="auto"/>
            <w:noWrap/>
            <w:tcMar>
              <w:top w:w="15" w:type="dxa"/>
              <w:left w:w="15" w:type="dxa"/>
              <w:right w:w="15" w:type="dxa"/>
            </w:tcMar>
            <w:vAlign w:val="center"/>
          </w:tcPr>
          <w:p w14:paraId="1D5CBCE8">
            <w:pPr>
              <w:widowControl/>
              <w:jc w:val="center"/>
              <w:textAlignment w:val="center"/>
              <w:rPr>
                <w:rFonts w:ascii="Times New Roman" w:hAnsi="Times New Roman" w:eastAsia="宋体" w:cs="Times New Roman"/>
                <w:kern w:val="0"/>
                <w:sz w:val="20"/>
                <w:szCs w:val="20"/>
              </w:rPr>
            </w:pPr>
          </w:p>
        </w:tc>
      </w:tr>
      <w:tr w14:paraId="665C3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1131F1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0D253536">
            <w:pPr>
              <w:widowControl/>
              <w:jc w:val="center"/>
              <w:textAlignment w:val="center"/>
              <w:rPr>
                <w:rFonts w:ascii="Times New Roman" w:hAnsi="Times New Roman" w:eastAsia="宋体" w:cs="Times New Roman"/>
                <w:sz w:val="20"/>
                <w:szCs w:val="20"/>
              </w:rPr>
            </w:pPr>
            <w:r>
              <w:rPr>
                <w:rStyle w:val="53"/>
                <w:rFonts w:hint="default"/>
                <w:color w:val="auto"/>
              </w:rPr>
              <w:t>草原科技支撑能力提升建设工程</w:t>
            </w:r>
          </w:p>
        </w:tc>
        <w:tc>
          <w:tcPr>
            <w:tcW w:w="1327" w:type="dxa"/>
            <w:shd w:val="clear" w:color="auto" w:fill="auto"/>
            <w:noWrap/>
            <w:tcMar>
              <w:top w:w="15" w:type="dxa"/>
              <w:left w:w="15" w:type="dxa"/>
              <w:right w:w="15" w:type="dxa"/>
            </w:tcMar>
            <w:vAlign w:val="center"/>
          </w:tcPr>
          <w:p w14:paraId="2DAC54D5">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7155D4B7">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01BCA2D2">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BA16A75">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26E381A">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65847A22">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C83B907">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2EB127AA">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6E659ED1">
            <w:pPr>
              <w:jc w:val="center"/>
              <w:rPr>
                <w:rFonts w:ascii="Times New Roman" w:hAnsi="Times New Roman" w:eastAsia="宋体" w:cs="Times New Roman"/>
                <w:sz w:val="20"/>
                <w:szCs w:val="20"/>
              </w:rPr>
            </w:pPr>
          </w:p>
        </w:tc>
      </w:tr>
      <w:tr w14:paraId="1647E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7180676">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05B5F533">
            <w:pPr>
              <w:widowControl/>
              <w:jc w:val="center"/>
              <w:textAlignment w:val="center"/>
              <w:rPr>
                <w:rFonts w:ascii="Times New Roman" w:hAnsi="Times New Roman" w:eastAsia="宋体" w:cs="Times New Roman"/>
                <w:sz w:val="20"/>
                <w:szCs w:val="20"/>
              </w:rPr>
            </w:pPr>
            <w:r>
              <w:rPr>
                <w:rStyle w:val="53"/>
                <w:rFonts w:hint="default"/>
                <w:color w:val="auto"/>
              </w:rPr>
              <w:t>科研、技术研发、标准化体系</w:t>
            </w:r>
          </w:p>
        </w:tc>
        <w:tc>
          <w:tcPr>
            <w:tcW w:w="1327" w:type="dxa"/>
            <w:shd w:val="clear" w:color="auto" w:fill="auto"/>
            <w:noWrap/>
            <w:tcMar>
              <w:top w:w="15" w:type="dxa"/>
              <w:left w:w="15" w:type="dxa"/>
              <w:right w:w="15" w:type="dxa"/>
            </w:tcMar>
            <w:vAlign w:val="center"/>
          </w:tcPr>
          <w:p w14:paraId="3FF64A7E">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71E9365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1334" w:type="dxa"/>
            <w:shd w:val="clear" w:color="auto" w:fill="auto"/>
            <w:noWrap/>
            <w:tcMar>
              <w:top w:w="15" w:type="dxa"/>
              <w:left w:w="15" w:type="dxa"/>
              <w:right w:w="15" w:type="dxa"/>
            </w:tcMar>
            <w:vAlign w:val="center"/>
          </w:tcPr>
          <w:p w14:paraId="22E8137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w:t>
            </w:r>
          </w:p>
        </w:tc>
        <w:tc>
          <w:tcPr>
            <w:tcW w:w="1152" w:type="dxa"/>
            <w:gridSpan w:val="2"/>
            <w:shd w:val="clear" w:color="auto" w:fill="auto"/>
            <w:noWrap/>
            <w:tcMar>
              <w:top w:w="15" w:type="dxa"/>
              <w:left w:w="15" w:type="dxa"/>
              <w:right w:w="15" w:type="dxa"/>
            </w:tcMar>
            <w:vAlign w:val="center"/>
          </w:tcPr>
          <w:p w14:paraId="7291693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600</w:t>
            </w:r>
          </w:p>
        </w:tc>
        <w:tc>
          <w:tcPr>
            <w:tcW w:w="992" w:type="dxa"/>
            <w:gridSpan w:val="2"/>
            <w:shd w:val="clear" w:color="auto" w:fill="auto"/>
            <w:noWrap/>
            <w:tcMar>
              <w:top w:w="15" w:type="dxa"/>
              <w:left w:w="15" w:type="dxa"/>
              <w:right w:w="15" w:type="dxa"/>
            </w:tcMar>
            <w:vAlign w:val="center"/>
          </w:tcPr>
          <w:p w14:paraId="3476958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1214" w:type="dxa"/>
            <w:gridSpan w:val="3"/>
            <w:shd w:val="clear" w:color="auto" w:fill="auto"/>
            <w:noWrap/>
            <w:tcMar>
              <w:top w:w="15" w:type="dxa"/>
              <w:left w:w="15" w:type="dxa"/>
              <w:right w:w="15" w:type="dxa"/>
            </w:tcMar>
            <w:vAlign w:val="center"/>
          </w:tcPr>
          <w:p w14:paraId="1E74E1F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12" w:type="dxa"/>
            <w:gridSpan w:val="2"/>
            <w:shd w:val="clear" w:color="auto" w:fill="auto"/>
            <w:noWrap/>
            <w:tcMar>
              <w:top w:w="15" w:type="dxa"/>
              <w:left w:w="15" w:type="dxa"/>
              <w:right w:w="15" w:type="dxa"/>
            </w:tcMar>
            <w:vAlign w:val="center"/>
          </w:tcPr>
          <w:p w14:paraId="5452AC2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962" w:type="dxa"/>
            <w:gridSpan w:val="2"/>
            <w:shd w:val="clear" w:color="auto" w:fill="auto"/>
            <w:noWrap/>
            <w:tcMar>
              <w:top w:w="15" w:type="dxa"/>
              <w:left w:w="15" w:type="dxa"/>
              <w:right w:w="15" w:type="dxa"/>
            </w:tcMar>
            <w:vAlign w:val="center"/>
          </w:tcPr>
          <w:p w14:paraId="70C7B1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55" w:type="dxa"/>
            <w:gridSpan w:val="3"/>
            <w:shd w:val="clear" w:color="auto" w:fill="auto"/>
            <w:noWrap/>
            <w:tcMar>
              <w:top w:w="15" w:type="dxa"/>
              <w:left w:w="15" w:type="dxa"/>
              <w:right w:w="15" w:type="dxa"/>
            </w:tcMar>
            <w:vAlign w:val="center"/>
          </w:tcPr>
          <w:p w14:paraId="49296329">
            <w:pPr>
              <w:widowControl/>
              <w:jc w:val="center"/>
              <w:textAlignment w:val="center"/>
              <w:rPr>
                <w:rFonts w:ascii="Times New Roman" w:hAnsi="Times New Roman" w:eastAsia="宋体" w:cs="Times New Roman"/>
                <w:kern w:val="0"/>
                <w:sz w:val="20"/>
                <w:szCs w:val="20"/>
              </w:rPr>
            </w:pPr>
          </w:p>
        </w:tc>
      </w:tr>
      <w:tr w14:paraId="5D35F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307" w:hRule="atLeast"/>
        </w:trPr>
        <w:tc>
          <w:tcPr>
            <w:tcW w:w="697" w:type="dxa"/>
            <w:shd w:val="clear" w:color="auto" w:fill="auto"/>
            <w:noWrap/>
            <w:tcMar>
              <w:top w:w="15" w:type="dxa"/>
              <w:left w:w="15" w:type="dxa"/>
              <w:right w:w="15" w:type="dxa"/>
            </w:tcMar>
            <w:vAlign w:val="center"/>
          </w:tcPr>
          <w:p w14:paraId="48D6DB0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w:t>
            </w:r>
          </w:p>
        </w:tc>
        <w:tc>
          <w:tcPr>
            <w:tcW w:w="3246" w:type="dxa"/>
            <w:shd w:val="clear" w:color="auto" w:fill="auto"/>
            <w:noWrap/>
            <w:tcMar>
              <w:top w:w="15" w:type="dxa"/>
              <w:left w:w="15" w:type="dxa"/>
              <w:right w:w="15" w:type="dxa"/>
            </w:tcMar>
            <w:vAlign w:val="center"/>
          </w:tcPr>
          <w:p w14:paraId="2E199A85">
            <w:pPr>
              <w:widowControl/>
              <w:jc w:val="center"/>
              <w:textAlignment w:val="center"/>
              <w:rPr>
                <w:rFonts w:ascii="Times New Roman" w:hAnsi="Times New Roman" w:eastAsia="宋体" w:cs="Times New Roman"/>
                <w:sz w:val="20"/>
                <w:szCs w:val="20"/>
              </w:rPr>
            </w:pPr>
            <w:r>
              <w:rPr>
                <w:rStyle w:val="53"/>
                <w:rFonts w:hint="default"/>
                <w:color w:val="auto"/>
              </w:rPr>
              <w:t>草原灾害防控体系建设工程</w:t>
            </w:r>
          </w:p>
        </w:tc>
        <w:tc>
          <w:tcPr>
            <w:tcW w:w="1327" w:type="dxa"/>
            <w:shd w:val="clear" w:color="auto" w:fill="auto"/>
            <w:noWrap/>
            <w:tcMar>
              <w:top w:w="15" w:type="dxa"/>
              <w:left w:w="15" w:type="dxa"/>
              <w:right w:w="15" w:type="dxa"/>
            </w:tcMar>
            <w:vAlign w:val="center"/>
          </w:tcPr>
          <w:p w14:paraId="501EF94F">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A4C5D9E">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7600D2E7">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4703FD2">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059D84EC">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CC89B17">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3AA01894">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B5CA491">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5A2BAAE">
            <w:pPr>
              <w:jc w:val="center"/>
              <w:rPr>
                <w:rFonts w:ascii="Times New Roman" w:hAnsi="Times New Roman" w:eastAsia="宋体" w:cs="Times New Roman"/>
                <w:sz w:val="20"/>
                <w:szCs w:val="20"/>
              </w:rPr>
            </w:pPr>
          </w:p>
        </w:tc>
      </w:tr>
      <w:tr w14:paraId="1F237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D99C920">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142EEDCA">
            <w:pPr>
              <w:widowControl/>
              <w:jc w:val="center"/>
              <w:textAlignment w:val="center"/>
              <w:rPr>
                <w:rFonts w:ascii="Times New Roman" w:hAnsi="Times New Roman" w:eastAsia="宋体" w:cs="Times New Roman"/>
                <w:sz w:val="20"/>
                <w:szCs w:val="20"/>
              </w:rPr>
            </w:pPr>
            <w:r>
              <w:rPr>
                <w:rStyle w:val="53"/>
                <w:rFonts w:hint="default"/>
                <w:color w:val="auto"/>
              </w:rPr>
              <w:t>草原火灾防控体系建设工程</w:t>
            </w:r>
          </w:p>
        </w:tc>
        <w:tc>
          <w:tcPr>
            <w:tcW w:w="1327" w:type="dxa"/>
            <w:shd w:val="clear" w:color="auto" w:fill="auto"/>
            <w:noWrap/>
            <w:tcMar>
              <w:top w:w="15" w:type="dxa"/>
              <w:left w:w="15" w:type="dxa"/>
              <w:right w:w="15" w:type="dxa"/>
            </w:tcMar>
            <w:vAlign w:val="center"/>
          </w:tcPr>
          <w:p w14:paraId="7365E9FE">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7AD4840">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D93BCD9">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5EB71DD8">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2C247A2A">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99392A7">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4EA88165">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3C9EC131">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1E0D8476">
            <w:pPr>
              <w:jc w:val="center"/>
              <w:rPr>
                <w:rFonts w:ascii="Times New Roman" w:hAnsi="Times New Roman" w:eastAsia="宋体" w:cs="Times New Roman"/>
                <w:sz w:val="20"/>
                <w:szCs w:val="20"/>
              </w:rPr>
            </w:pPr>
          </w:p>
        </w:tc>
      </w:tr>
      <w:tr w14:paraId="3CD7D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F8F303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r>
              <w:rPr>
                <w:rStyle w:val="53"/>
                <w:rFonts w:hint="default"/>
                <w:color w:val="auto"/>
              </w:rPr>
              <w:t>）</w:t>
            </w:r>
          </w:p>
        </w:tc>
        <w:tc>
          <w:tcPr>
            <w:tcW w:w="3246" w:type="dxa"/>
            <w:shd w:val="clear" w:color="auto" w:fill="auto"/>
            <w:noWrap/>
            <w:tcMar>
              <w:top w:w="15" w:type="dxa"/>
              <w:left w:w="15" w:type="dxa"/>
              <w:right w:w="15" w:type="dxa"/>
            </w:tcMar>
            <w:vAlign w:val="center"/>
          </w:tcPr>
          <w:p w14:paraId="797A91FC">
            <w:pPr>
              <w:widowControl/>
              <w:jc w:val="center"/>
              <w:textAlignment w:val="center"/>
              <w:rPr>
                <w:rFonts w:ascii="Times New Roman" w:hAnsi="Times New Roman" w:eastAsia="宋体" w:cs="Times New Roman"/>
                <w:sz w:val="20"/>
                <w:szCs w:val="20"/>
              </w:rPr>
            </w:pPr>
            <w:r>
              <w:rPr>
                <w:rStyle w:val="53"/>
                <w:rFonts w:hint="default"/>
                <w:color w:val="auto"/>
              </w:rPr>
              <w:t>草原火险预警监测系统</w:t>
            </w:r>
          </w:p>
        </w:tc>
        <w:tc>
          <w:tcPr>
            <w:tcW w:w="1327" w:type="dxa"/>
            <w:shd w:val="clear" w:color="auto" w:fill="auto"/>
            <w:noWrap/>
            <w:tcMar>
              <w:top w:w="15" w:type="dxa"/>
              <w:left w:w="15" w:type="dxa"/>
              <w:right w:w="15" w:type="dxa"/>
            </w:tcMar>
            <w:vAlign w:val="center"/>
          </w:tcPr>
          <w:p w14:paraId="37C0061C">
            <w:pPr>
              <w:widowControl/>
              <w:jc w:val="center"/>
              <w:textAlignment w:val="center"/>
              <w:rPr>
                <w:rFonts w:ascii="Times New Roman" w:hAnsi="Times New Roman" w:eastAsia="宋体" w:cs="Times New Roman"/>
                <w:sz w:val="20"/>
                <w:szCs w:val="20"/>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4033339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46A699F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237838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2200</w:t>
            </w:r>
          </w:p>
        </w:tc>
        <w:tc>
          <w:tcPr>
            <w:tcW w:w="992" w:type="dxa"/>
            <w:gridSpan w:val="2"/>
            <w:shd w:val="clear" w:color="auto" w:fill="auto"/>
            <w:noWrap/>
            <w:tcMar>
              <w:top w:w="15" w:type="dxa"/>
              <w:left w:w="15" w:type="dxa"/>
              <w:right w:w="15" w:type="dxa"/>
            </w:tcMar>
            <w:vAlign w:val="center"/>
          </w:tcPr>
          <w:p w14:paraId="6BD7773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22A5511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912" w:type="dxa"/>
            <w:gridSpan w:val="2"/>
            <w:shd w:val="clear" w:color="auto" w:fill="auto"/>
            <w:noWrap/>
            <w:tcMar>
              <w:top w:w="15" w:type="dxa"/>
              <w:left w:w="15" w:type="dxa"/>
              <w:right w:w="15" w:type="dxa"/>
            </w:tcMar>
            <w:vAlign w:val="center"/>
          </w:tcPr>
          <w:p w14:paraId="017F53C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962" w:type="dxa"/>
            <w:gridSpan w:val="2"/>
            <w:shd w:val="clear" w:color="auto" w:fill="auto"/>
            <w:noWrap/>
            <w:tcMar>
              <w:top w:w="15" w:type="dxa"/>
              <w:left w:w="15" w:type="dxa"/>
              <w:right w:w="15" w:type="dxa"/>
            </w:tcMar>
            <w:vAlign w:val="center"/>
          </w:tcPr>
          <w:p w14:paraId="4290626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1200</w:t>
            </w:r>
          </w:p>
        </w:tc>
        <w:tc>
          <w:tcPr>
            <w:tcW w:w="955" w:type="dxa"/>
            <w:gridSpan w:val="3"/>
            <w:shd w:val="clear" w:color="auto" w:fill="auto"/>
            <w:noWrap/>
            <w:tcMar>
              <w:top w:w="15" w:type="dxa"/>
              <w:left w:w="15" w:type="dxa"/>
              <w:right w:w="15" w:type="dxa"/>
            </w:tcMar>
            <w:vAlign w:val="center"/>
          </w:tcPr>
          <w:p w14:paraId="543D829B">
            <w:pPr>
              <w:widowControl/>
              <w:jc w:val="center"/>
              <w:textAlignment w:val="center"/>
              <w:rPr>
                <w:rFonts w:ascii="Times New Roman" w:hAnsi="Times New Roman" w:eastAsia="宋体" w:cs="Times New Roman"/>
                <w:kern w:val="0"/>
                <w:sz w:val="20"/>
                <w:szCs w:val="20"/>
              </w:rPr>
            </w:pPr>
          </w:p>
        </w:tc>
      </w:tr>
      <w:tr w14:paraId="6B01F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643329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r>
              <w:rPr>
                <w:rStyle w:val="53"/>
                <w:rFonts w:hint="default"/>
                <w:color w:val="auto"/>
              </w:rPr>
              <w:t>）</w:t>
            </w:r>
          </w:p>
        </w:tc>
        <w:tc>
          <w:tcPr>
            <w:tcW w:w="3246" w:type="dxa"/>
            <w:shd w:val="clear" w:color="auto" w:fill="auto"/>
            <w:noWrap/>
            <w:tcMar>
              <w:top w:w="15" w:type="dxa"/>
              <w:left w:w="15" w:type="dxa"/>
              <w:right w:w="15" w:type="dxa"/>
            </w:tcMar>
            <w:vAlign w:val="center"/>
          </w:tcPr>
          <w:p w14:paraId="5135749D">
            <w:pPr>
              <w:widowControl/>
              <w:jc w:val="center"/>
              <w:textAlignment w:val="center"/>
              <w:rPr>
                <w:rFonts w:ascii="Times New Roman" w:hAnsi="Times New Roman" w:eastAsia="宋体" w:cs="Times New Roman"/>
                <w:sz w:val="20"/>
                <w:szCs w:val="20"/>
              </w:rPr>
            </w:pPr>
            <w:r>
              <w:rPr>
                <w:rStyle w:val="53"/>
                <w:rFonts w:hint="default"/>
                <w:color w:val="auto"/>
              </w:rPr>
              <w:t>草原防火通信系统</w:t>
            </w:r>
          </w:p>
        </w:tc>
        <w:tc>
          <w:tcPr>
            <w:tcW w:w="1327" w:type="dxa"/>
            <w:shd w:val="clear" w:color="auto" w:fill="auto"/>
            <w:noWrap/>
            <w:tcMar>
              <w:top w:w="15" w:type="dxa"/>
              <w:left w:w="15" w:type="dxa"/>
              <w:right w:w="15" w:type="dxa"/>
            </w:tcMar>
            <w:vAlign w:val="center"/>
          </w:tcPr>
          <w:p w14:paraId="6B081B44">
            <w:pPr>
              <w:widowControl/>
              <w:jc w:val="center"/>
              <w:textAlignment w:val="center"/>
              <w:rPr>
                <w:rFonts w:ascii="Times New Roman" w:hAnsi="Times New Roman" w:eastAsia="宋体" w:cs="Times New Roman"/>
                <w:sz w:val="20"/>
                <w:szCs w:val="20"/>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638412A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6CFEB38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400</w:t>
            </w:r>
          </w:p>
        </w:tc>
        <w:tc>
          <w:tcPr>
            <w:tcW w:w="1152" w:type="dxa"/>
            <w:gridSpan w:val="2"/>
            <w:shd w:val="clear" w:color="auto" w:fill="auto"/>
            <w:noWrap/>
            <w:tcMar>
              <w:top w:w="15" w:type="dxa"/>
              <w:left w:w="15" w:type="dxa"/>
              <w:right w:w="15" w:type="dxa"/>
            </w:tcMar>
            <w:vAlign w:val="center"/>
          </w:tcPr>
          <w:p w14:paraId="73492DD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4400</w:t>
            </w:r>
          </w:p>
        </w:tc>
        <w:tc>
          <w:tcPr>
            <w:tcW w:w="992" w:type="dxa"/>
            <w:gridSpan w:val="2"/>
            <w:shd w:val="clear" w:color="auto" w:fill="auto"/>
            <w:noWrap/>
            <w:tcMar>
              <w:top w:w="15" w:type="dxa"/>
              <w:left w:w="15" w:type="dxa"/>
              <w:right w:w="15" w:type="dxa"/>
            </w:tcMar>
            <w:vAlign w:val="center"/>
          </w:tcPr>
          <w:p w14:paraId="442EB915">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3AA2898">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7B0EAA8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11</w:t>
            </w:r>
          </w:p>
        </w:tc>
        <w:tc>
          <w:tcPr>
            <w:tcW w:w="962" w:type="dxa"/>
            <w:gridSpan w:val="2"/>
            <w:shd w:val="clear" w:color="auto" w:fill="auto"/>
            <w:noWrap/>
            <w:tcMar>
              <w:top w:w="15" w:type="dxa"/>
              <w:left w:w="15" w:type="dxa"/>
              <w:right w:w="15" w:type="dxa"/>
            </w:tcMar>
            <w:vAlign w:val="center"/>
          </w:tcPr>
          <w:p w14:paraId="5157B44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4400</w:t>
            </w:r>
          </w:p>
        </w:tc>
        <w:tc>
          <w:tcPr>
            <w:tcW w:w="955" w:type="dxa"/>
            <w:gridSpan w:val="3"/>
            <w:shd w:val="clear" w:color="auto" w:fill="auto"/>
            <w:noWrap/>
            <w:tcMar>
              <w:top w:w="15" w:type="dxa"/>
              <w:left w:w="15" w:type="dxa"/>
              <w:right w:w="15" w:type="dxa"/>
            </w:tcMar>
            <w:vAlign w:val="center"/>
          </w:tcPr>
          <w:p w14:paraId="39474854">
            <w:pPr>
              <w:widowControl/>
              <w:jc w:val="center"/>
              <w:textAlignment w:val="center"/>
              <w:rPr>
                <w:rFonts w:ascii="Times New Roman" w:hAnsi="Times New Roman" w:eastAsia="宋体" w:cs="Times New Roman"/>
                <w:kern w:val="0"/>
                <w:sz w:val="20"/>
                <w:szCs w:val="20"/>
              </w:rPr>
            </w:pPr>
          </w:p>
        </w:tc>
      </w:tr>
      <w:tr w14:paraId="457BD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78D7CD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r>
              <w:rPr>
                <w:rStyle w:val="53"/>
                <w:rFonts w:hint="default"/>
                <w:color w:val="auto"/>
              </w:rPr>
              <w:t>）</w:t>
            </w:r>
          </w:p>
        </w:tc>
        <w:tc>
          <w:tcPr>
            <w:tcW w:w="3246" w:type="dxa"/>
            <w:shd w:val="clear" w:color="auto" w:fill="auto"/>
            <w:noWrap/>
            <w:tcMar>
              <w:top w:w="15" w:type="dxa"/>
              <w:left w:w="15" w:type="dxa"/>
              <w:right w:w="15" w:type="dxa"/>
            </w:tcMar>
            <w:vAlign w:val="center"/>
          </w:tcPr>
          <w:p w14:paraId="181A49F9">
            <w:pPr>
              <w:widowControl/>
              <w:jc w:val="center"/>
              <w:textAlignment w:val="center"/>
              <w:rPr>
                <w:rFonts w:ascii="Times New Roman" w:hAnsi="Times New Roman" w:eastAsia="宋体" w:cs="Times New Roman"/>
                <w:sz w:val="20"/>
                <w:szCs w:val="20"/>
              </w:rPr>
            </w:pPr>
            <w:r>
              <w:rPr>
                <w:rStyle w:val="53"/>
                <w:rFonts w:hint="default"/>
                <w:color w:val="auto"/>
              </w:rPr>
              <w:t>草原火险信息指挥系统</w:t>
            </w:r>
          </w:p>
        </w:tc>
        <w:tc>
          <w:tcPr>
            <w:tcW w:w="1327" w:type="dxa"/>
            <w:shd w:val="clear" w:color="auto" w:fill="auto"/>
            <w:noWrap/>
            <w:tcMar>
              <w:top w:w="15" w:type="dxa"/>
              <w:left w:w="15" w:type="dxa"/>
              <w:right w:w="15" w:type="dxa"/>
            </w:tcMar>
            <w:vAlign w:val="center"/>
          </w:tcPr>
          <w:p w14:paraId="7DFE46DC">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4C19DA8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27B21A7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1152" w:type="dxa"/>
            <w:gridSpan w:val="2"/>
            <w:shd w:val="clear" w:color="auto" w:fill="auto"/>
            <w:noWrap/>
            <w:tcMar>
              <w:top w:w="15" w:type="dxa"/>
              <w:left w:w="15" w:type="dxa"/>
              <w:right w:w="15" w:type="dxa"/>
            </w:tcMar>
            <w:vAlign w:val="center"/>
          </w:tcPr>
          <w:p w14:paraId="5385CED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600</w:t>
            </w:r>
          </w:p>
        </w:tc>
        <w:tc>
          <w:tcPr>
            <w:tcW w:w="992" w:type="dxa"/>
            <w:gridSpan w:val="2"/>
            <w:shd w:val="clear" w:color="auto" w:fill="auto"/>
            <w:noWrap/>
            <w:tcMar>
              <w:top w:w="15" w:type="dxa"/>
              <w:left w:w="15" w:type="dxa"/>
              <w:right w:w="15" w:type="dxa"/>
            </w:tcMar>
            <w:vAlign w:val="center"/>
          </w:tcPr>
          <w:p w14:paraId="79CB177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752C82D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12" w:type="dxa"/>
            <w:gridSpan w:val="2"/>
            <w:shd w:val="clear" w:color="auto" w:fill="auto"/>
            <w:noWrap/>
            <w:tcMar>
              <w:top w:w="15" w:type="dxa"/>
              <w:left w:w="15" w:type="dxa"/>
              <w:right w:w="15" w:type="dxa"/>
            </w:tcMar>
            <w:vAlign w:val="center"/>
          </w:tcPr>
          <w:p w14:paraId="5E7DB02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448A7F4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55" w:type="dxa"/>
            <w:gridSpan w:val="3"/>
            <w:shd w:val="clear" w:color="auto" w:fill="auto"/>
            <w:noWrap/>
            <w:tcMar>
              <w:top w:w="15" w:type="dxa"/>
              <w:left w:w="15" w:type="dxa"/>
              <w:right w:w="15" w:type="dxa"/>
            </w:tcMar>
            <w:vAlign w:val="center"/>
          </w:tcPr>
          <w:p w14:paraId="43A58684">
            <w:pPr>
              <w:widowControl/>
              <w:jc w:val="center"/>
              <w:textAlignment w:val="center"/>
              <w:rPr>
                <w:rFonts w:ascii="Times New Roman" w:hAnsi="Times New Roman" w:eastAsia="宋体" w:cs="Times New Roman"/>
                <w:kern w:val="0"/>
                <w:sz w:val="20"/>
                <w:szCs w:val="20"/>
              </w:rPr>
            </w:pPr>
          </w:p>
        </w:tc>
      </w:tr>
      <w:tr w14:paraId="07600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2C32AA1">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4</w:t>
            </w:r>
            <w:r>
              <w:rPr>
                <w:rStyle w:val="53"/>
                <w:rFonts w:hint="default"/>
                <w:color w:val="auto"/>
              </w:rPr>
              <w:t>）</w:t>
            </w:r>
          </w:p>
        </w:tc>
        <w:tc>
          <w:tcPr>
            <w:tcW w:w="3246" w:type="dxa"/>
            <w:shd w:val="clear" w:color="auto" w:fill="auto"/>
            <w:noWrap/>
            <w:tcMar>
              <w:top w:w="15" w:type="dxa"/>
              <w:left w:w="15" w:type="dxa"/>
              <w:right w:w="15" w:type="dxa"/>
            </w:tcMar>
            <w:vAlign w:val="center"/>
          </w:tcPr>
          <w:p w14:paraId="081A41DB">
            <w:pPr>
              <w:widowControl/>
              <w:jc w:val="center"/>
              <w:textAlignment w:val="center"/>
              <w:rPr>
                <w:rFonts w:ascii="Times New Roman" w:hAnsi="Times New Roman" w:eastAsia="宋体" w:cs="Times New Roman"/>
                <w:sz w:val="20"/>
                <w:szCs w:val="20"/>
              </w:rPr>
            </w:pPr>
            <w:r>
              <w:rPr>
                <w:rStyle w:val="53"/>
                <w:rFonts w:hint="default"/>
                <w:color w:val="auto"/>
              </w:rPr>
              <w:t>草火阻隔系统建设</w:t>
            </w:r>
          </w:p>
        </w:tc>
        <w:tc>
          <w:tcPr>
            <w:tcW w:w="1327" w:type="dxa"/>
            <w:shd w:val="clear" w:color="auto" w:fill="auto"/>
            <w:noWrap/>
            <w:tcMar>
              <w:top w:w="15" w:type="dxa"/>
              <w:left w:w="15" w:type="dxa"/>
              <w:right w:w="15" w:type="dxa"/>
            </w:tcMar>
            <w:vAlign w:val="center"/>
          </w:tcPr>
          <w:p w14:paraId="4F93B5F9">
            <w:pPr>
              <w:widowControl/>
              <w:jc w:val="center"/>
              <w:textAlignment w:val="center"/>
              <w:rPr>
                <w:rFonts w:ascii="Times New Roman" w:hAnsi="Times New Roman" w:eastAsia="宋体" w:cs="Times New Roman"/>
                <w:sz w:val="20"/>
                <w:szCs w:val="20"/>
              </w:rPr>
            </w:pPr>
            <w:r>
              <w:rPr>
                <w:rStyle w:val="53"/>
                <w:rFonts w:hint="default"/>
                <w:color w:val="auto"/>
              </w:rPr>
              <w:t>公里</w:t>
            </w:r>
          </w:p>
        </w:tc>
        <w:tc>
          <w:tcPr>
            <w:tcW w:w="1264" w:type="dxa"/>
            <w:shd w:val="clear" w:color="auto" w:fill="auto"/>
            <w:noWrap/>
            <w:tcMar>
              <w:top w:w="15" w:type="dxa"/>
              <w:left w:w="15" w:type="dxa"/>
              <w:right w:w="15" w:type="dxa"/>
            </w:tcMar>
            <w:vAlign w:val="center"/>
          </w:tcPr>
          <w:p w14:paraId="3608D02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w:t>
            </w:r>
          </w:p>
        </w:tc>
        <w:tc>
          <w:tcPr>
            <w:tcW w:w="1334" w:type="dxa"/>
            <w:shd w:val="clear" w:color="auto" w:fill="auto"/>
            <w:noWrap/>
            <w:tcMar>
              <w:top w:w="15" w:type="dxa"/>
              <w:left w:w="15" w:type="dxa"/>
              <w:right w:w="15" w:type="dxa"/>
            </w:tcMar>
            <w:vAlign w:val="center"/>
          </w:tcPr>
          <w:p w14:paraId="61583E4B">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50</w:t>
            </w:r>
          </w:p>
        </w:tc>
        <w:tc>
          <w:tcPr>
            <w:tcW w:w="1152" w:type="dxa"/>
            <w:gridSpan w:val="2"/>
            <w:shd w:val="clear" w:color="auto" w:fill="auto"/>
            <w:noWrap/>
            <w:tcMar>
              <w:top w:w="15" w:type="dxa"/>
              <w:left w:w="15" w:type="dxa"/>
              <w:right w:w="15" w:type="dxa"/>
            </w:tcMar>
            <w:vAlign w:val="center"/>
          </w:tcPr>
          <w:p w14:paraId="036D6F57">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1000</w:t>
            </w:r>
          </w:p>
        </w:tc>
        <w:tc>
          <w:tcPr>
            <w:tcW w:w="992" w:type="dxa"/>
            <w:gridSpan w:val="2"/>
            <w:shd w:val="clear" w:color="auto" w:fill="auto"/>
            <w:noWrap/>
            <w:tcMar>
              <w:top w:w="15" w:type="dxa"/>
              <w:left w:w="15" w:type="dxa"/>
              <w:right w:w="15" w:type="dxa"/>
            </w:tcMar>
            <w:vAlign w:val="center"/>
          </w:tcPr>
          <w:p w14:paraId="028DA469">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773DC034">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112135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w:t>
            </w:r>
          </w:p>
        </w:tc>
        <w:tc>
          <w:tcPr>
            <w:tcW w:w="962" w:type="dxa"/>
            <w:gridSpan w:val="2"/>
            <w:shd w:val="clear" w:color="auto" w:fill="auto"/>
            <w:noWrap/>
            <w:tcMar>
              <w:top w:w="15" w:type="dxa"/>
              <w:left w:w="15" w:type="dxa"/>
              <w:right w:w="15" w:type="dxa"/>
            </w:tcMar>
            <w:vAlign w:val="center"/>
          </w:tcPr>
          <w:p w14:paraId="5BCD254F">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1000</w:t>
            </w:r>
          </w:p>
        </w:tc>
        <w:tc>
          <w:tcPr>
            <w:tcW w:w="955" w:type="dxa"/>
            <w:gridSpan w:val="3"/>
            <w:shd w:val="clear" w:color="auto" w:fill="auto"/>
            <w:noWrap/>
            <w:tcMar>
              <w:top w:w="15" w:type="dxa"/>
              <w:left w:w="15" w:type="dxa"/>
              <w:right w:w="15" w:type="dxa"/>
            </w:tcMar>
            <w:vAlign w:val="center"/>
          </w:tcPr>
          <w:p w14:paraId="54334048">
            <w:pPr>
              <w:widowControl/>
              <w:jc w:val="center"/>
              <w:textAlignment w:val="center"/>
              <w:rPr>
                <w:rFonts w:hint="eastAsia" w:ascii="Times New Roman" w:hAnsi="Times New Roman" w:eastAsia="宋体" w:cs="Times New Roman"/>
                <w:kern w:val="0"/>
                <w:sz w:val="20"/>
                <w:szCs w:val="20"/>
              </w:rPr>
            </w:pPr>
          </w:p>
        </w:tc>
      </w:tr>
      <w:tr w14:paraId="3DBF6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5B5CFB2">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r>
              <w:rPr>
                <w:rStyle w:val="53"/>
                <w:rFonts w:hint="default"/>
                <w:color w:val="auto"/>
              </w:rPr>
              <w:t>）</w:t>
            </w:r>
          </w:p>
        </w:tc>
        <w:tc>
          <w:tcPr>
            <w:tcW w:w="3246" w:type="dxa"/>
            <w:shd w:val="clear" w:color="auto" w:fill="auto"/>
            <w:noWrap/>
            <w:tcMar>
              <w:top w:w="15" w:type="dxa"/>
              <w:left w:w="15" w:type="dxa"/>
              <w:right w:w="15" w:type="dxa"/>
            </w:tcMar>
            <w:vAlign w:val="center"/>
          </w:tcPr>
          <w:p w14:paraId="2AA1388A">
            <w:pPr>
              <w:widowControl/>
              <w:jc w:val="center"/>
              <w:textAlignment w:val="center"/>
              <w:rPr>
                <w:rFonts w:ascii="Times New Roman" w:hAnsi="Times New Roman" w:eastAsia="宋体" w:cs="Times New Roman"/>
                <w:sz w:val="20"/>
                <w:szCs w:val="20"/>
              </w:rPr>
            </w:pPr>
            <w:r>
              <w:rPr>
                <w:rStyle w:val="53"/>
                <w:rFonts w:hint="default"/>
                <w:color w:val="auto"/>
              </w:rPr>
              <w:t>草原防火能力建设</w:t>
            </w:r>
          </w:p>
        </w:tc>
        <w:tc>
          <w:tcPr>
            <w:tcW w:w="1327" w:type="dxa"/>
            <w:shd w:val="clear" w:color="auto" w:fill="auto"/>
            <w:noWrap/>
            <w:tcMar>
              <w:top w:w="15" w:type="dxa"/>
              <w:left w:w="15" w:type="dxa"/>
              <w:right w:w="15" w:type="dxa"/>
            </w:tcMar>
            <w:vAlign w:val="center"/>
          </w:tcPr>
          <w:p w14:paraId="7EDE9F2E">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4B68464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4A323D7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w:t>
            </w:r>
          </w:p>
        </w:tc>
        <w:tc>
          <w:tcPr>
            <w:tcW w:w="1152" w:type="dxa"/>
            <w:gridSpan w:val="2"/>
            <w:shd w:val="clear" w:color="auto" w:fill="auto"/>
            <w:noWrap/>
            <w:tcMar>
              <w:top w:w="15" w:type="dxa"/>
              <w:left w:w="15" w:type="dxa"/>
              <w:right w:w="15" w:type="dxa"/>
            </w:tcMar>
            <w:vAlign w:val="center"/>
          </w:tcPr>
          <w:p w14:paraId="1DA5CC4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1000</w:t>
            </w:r>
          </w:p>
        </w:tc>
        <w:tc>
          <w:tcPr>
            <w:tcW w:w="992" w:type="dxa"/>
            <w:gridSpan w:val="2"/>
            <w:shd w:val="clear" w:color="auto" w:fill="auto"/>
            <w:noWrap/>
            <w:tcMar>
              <w:top w:w="15" w:type="dxa"/>
              <w:left w:w="15" w:type="dxa"/>
              <w:right w:w="15" w:type="dxa"/>
            </w:tcMar>
            <w:vAlign w:val="center"/>
          </w:tcPr>
          <w:p w14:paraId="429223B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6B1DF46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w:t>
            </w:r>
          </w:p>
        </w:tc>
        <w:tc>
          <w:tcPr>
            <w:tcW w:w="912" w:type="dxa"/>
            <w:gridSpan w:val="2"/>
            <w:shd w:val="clear" w:color="auto" w:fill="auto"/>
            <w:noWrap/>
            <w:tcMar>
              <w:top w:w="15" w:type="dxa"/>
              <w:left w:w="15" w:type="dxa"/>
              <w:right w:w="15" w:type="dxa"/>
            </w:tcMar>
            <w:vAlign w:val="center"/>
          </w:tcPr>
          <w:p w14:paraId="06D08C2F">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08190C1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500</w:t>
            </w:r>
          </w:p>
        </w:tc>
        <w:tc>
          <w:tcPr>
            <w:tcW w:w="955" w:type="dxa"/>
            <w:gridSpan w:val="3"/>
            <w:shd w:val="clear" w:color="auto" w:fill="auto"/>
            <w:noWrap/>
            <w:tcMar>
              <w:top w:w="15" w:type="dxa"/>
              <w:left w:w="15" w:type="dxa"/>
              <w:right w:w="15" w:type="dxa"/>
            </w:tcMar>
            <w:vAlign w:val="center"/>
          </w:tcPr>
          <w:p w14:paraId="17D31B08">
            <w:pPr>
              <w:widowControl/>
              <w:jc w:val="center"/>
              <w:textAlignment w:val="center"/>
              <w:rPr>
                <w:rFonts w:ascii="Times New Roman" w:hAnsi="Times New Roman" w:eastAsia="宋体" w:cs="Times New Roman"/>
                <w:kern w:val="0"/>
                <w:sz w:val="20"/>
                <w:szCs w:val="20"/>
              </w:rPr>
            </w:pPr>
          </w:p>
        </w:tc>
      </w:tr>
      <w:tr w14:paraId="7227F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5D2711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42E16D73">
            <w:pPr>
              <w:widowControl/>
              <w:jc w:val="center"/>
              <w:textAlignment w:val="center"/>
              <w:rPr>
                <w:rFonts w:ascii="Times New Roman" w:hAnsi="Times New Roman" w:eastAsia="宋体" w:cs="Times New Roman"/>
                <w:sz w:val="20"/>
                <w:szCs w:val="20"/>
              </w:rPr>
            </w:pPr>
            <w:r>
              <w:rPr>
                <w:rStyle w:val="53"/>
                <w:rFonts w:hint="default"/>
                <w:color w:val="auto"/>
              </w:rPr>
              <w:t>草原有害生物与自然灾害防治工程</w:t>
            </w:r>
          </w:p>
        </w:tc>
        <w:tc>
          <w:tcPr>
            <w:tcW w:w="1327" w:type="dxa"/>
            <w:shd w:val="clear" w:color="auto" w:fill="auto"/>
            <w:noWrap/>
            <w:tcMar>
              <w:top w:w="15" w:type="dxa"/>
              <w:left w:w="15" w:type="dxa"/>
              <w:right w:w="15" w:type="dxa"/>
            </w:tcMar>
            <w:vAlign w:val="center"/>
          </w:tcPr>
          <w:p w14:paraId="3491EE68">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B11C0C1">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302F42DD">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6BD1D4F3">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07E0570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59F98006">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6FB0B0AB">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C93F15E">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4294D82C">
            <w:pPr>
              <w:jc w:val="center"/>
              <w:rPr>
                <w:rFonts w:ascii="Times New Roman" w:hAnsi="Times New Roman" w:eastAsia="宋体" w:cs="Times New Roman"/>
                <w:sz w:val="20"/>
                <w:szCs w:val="20"/>
              </w:rPr>
            </w:pPr>
          </w:p>
        </w:tc>
      </w:tr>
      <w:tr w14:paraId="3141A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E3E83AA">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14F2ED18">
            <w:pPr>
              <w:widowControl/>
              <w:jc w:val="center"/>
              <w:textAlignment w:val="center"/>
              <w:rPr>
                <w:rFonts w:ascii="Times New Roman" w:hAnsi="Times New Roman" w:eastAsia="宋体" w:cs="Times New Roman"/>
                <w:sz w:val="20"/>
                <w:szCs w:val="20"/>
              </w:rPr>
            </w:pPr>
            <w:r>
              <w:rPr>
                <w:rStyle w:val="53"/>
                <w:rFonts w:hint="default"/>
                <w:color w:val="auto"/>
              </w:rPr>
              <w:t>鼠虫病害防治物资储备点</w:t>
            </w:r>
          </w:p>
        </w:tc>
        <w:tc>
          <w:tcPr>
            <w:tcW w:w="1327" w:type="dxa"/>
            <w:shd w:val="clear" w:color="auto" w:fill="auto"/>
            <w:noWrap/>
            <w:tcMar>
              <w:top w:w="15" w:type="dxa"/>
              <w:left w:w="15" w:type="dxa"/>
              <w:right w:w="15" w:type="dxa"/>
            </w:tcMar>
            <w:vAlign w:val="center"/>
          </w:tcPr>
          <w:p w14:paraId="4A510DA3">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60C4697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334" w:type="dxa"/>
            <w:shd w:val="clear" w:color="auto" w:fill="auto"/>
            <w:noWrap/>
            <w:tcMar>
              <w:top w:w="15" w:type="dxa"/>
              <w:left w:w="15" w:type="dxa"/>
              <w:right w:w="15" w:type="dxa"/>
            </w:tcMar>
            <w:vAlign w:val="center"/>
          </w:tcPr>
          <w:p w14:paraId="4164641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152" w:type="dxa"/>
            <w:gridSpan w:val="2"/>
            <w:shd w:val="clear" w:color="auto" w:fill="auto"/>
            <w:noWrap/>
            <w:tcMar>
              <w:top w:w="15" w:type="dxa"/>
              <w:left w:w="15" w:type="dxa"/>
              <w:right w:w="15" w:type="dxa"/>
            </w:tcMar>
            <w:vAlign w:val="center"/>
          </w:tcPr>
          <w:p w14:paraId="2F3F426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92" w:type="dxa"/>
            <w:gridSpan w:val="2"/>
            <w:shd w:val="clear" w:color="auto" w:fill="auto"/>
            <w:noWrap/>
            <w:tcMar>
              <w:top w:w="15" w:type="dxa"/>
              <w:left w:w="15" w:type="dxa"/>
              <w:right w:w="15" w:type="dxa"/>
            </w:tcMar>
            <w:vAlign w:val="center"/>
          </w:tcPr>
          <w:p w14:paraId="048BF76A">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p>
        </w:tc>
        <w:tc>
          <w:tcPr>
            <w:tcW w:w="1214" w:type="dxa"/>
            <w:gridSpan w:val="3"/>
            <w:shd w:val="clear" w:color="auto" w:fill="auto"/>
            <w:noWrap/>
            <w:tcMar>
              <w:top w:w="15" w:type="dxa"/>
              <w:left w:w="15" w:type="dxa"/>
              <w:right w:w="15" w:type="dxa"/>
            </w:tcMar>
            <w:vAlign w:val="center"/>
          </w:tcPr>
          <w:p w14:paraId="6D35A890">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w:t>
            </w:r>
          </w:p>
        </w:tc>
        <w:tc>
          <w:tcPr>
            <w:tcW w:w="912" w:type="dxa"/>
            <w:gridSpan w:val="2"/>
            <w:shd w:val="clear" w:color="auto" w:fill="auto"/>
            <w:noWrap/>
            <w:tcMar>
              <w:top w:w="15" w:type="dxa"/>
              <w:left w:w="15" w:type="dxa"/>
              <w:right w:w="15" w:type="dxa"/>
            </w:tcMar>
            <w:vAlign w:val="center"/>
          </w:tcPr>
          <w:p w14:paraId="7146029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w:t>
            </w:r>
          </w:p>
        </w:tc>
        <w:tc>
          <w:tcPr>
            <w:tcW w:w="962" w:type="dxa"/>
            <w:gridSpan w:val="2"/>
            <w:shd w:val="clear" w:color="auto" w:fill="auto"/>
            <w:noWrap/>
            <w:tcMar>
              <w:top w:w="15" w:type="dxa"/>
              <w:left w:w="15" w:type="dxa"/>
              <w:right w:w="15" w:type="dxa"/>
            </w:tcMar>
            <w:vAlign w:val="center"/>
          </w:tcPr>
          <w:p w14:paraId="3C07A26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w:t>
            </w:r>
          </w:p>
        </w:tc>
        <w:tc>
          <w:tcPr>
            <w:tcW w:w="955" w:type="dxa"/>
            <w:gridSpan w:val="3"/>
            <w:shd w:val="clear" w:color="auto" w:fill="auto"/>
            <w:noWrap/>
            <w:tcMar>
              <w:top w:w="15" w:type="dxa"/>
              <w:left w:w="15" w:type="dxa"/>
              <w:right w:w="15" w:type="dxa"/>
            </w:tcMar>
            <w:vAlign w:val="center"/>
          </w:tcPr>
          <w:p w14:paraId="39DF97A4">
            <w:pPr>
              <w:widowControl/>
              <w:jc w:val="center"/>
              <w:textAlignment w:val="center"/>
              <w:rPr>
                <w:rFonts w:ascii="Times New Roman" w:hAnsi="Times New Roman" w:eastAsia="宋体" w:cs="Times New Roman"/>
                <w:kern w:val="0"/>
                <w:sz w:val="20"/>
                <w:szCs w:val="20"/>
              </w:rPr>
            </w:pPr>
          </w:p>
        </w:tc>
      </w:tr>
      <w:tr w14:paraId="7CCC0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A49B62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3246" w:type="dxa"/>
            <w:shd w:val="clear" w:color="auto" w:fill="auto"/>
            <w:noWrap/>
            <w:tcMar>
              <w:top w:w="15" w:type="dxa"/>
              <w:left w:w="15" w:type="dxa"/>
              <w:right w:w="15" w:type="dxa"/>
            </w:tcMar>
            <w:vAlign w:val="center"/>
          </w:tcPr>
          <w:p w14:paraId="566ECA03">
            <w:pPr>
              <w:widowControl/>
              <w:jc w:val="center"/>
              <w:textAlignment w:val="center"/>
              <w:rPr>
                <w:rFonts w:ascii="Times New Roman" w:hAnsi="Times New Roman" w:eastAsia="宋体" w:cs="Times New Roman"/>
                <w:sz w:val="20"/>
                <w:szCs w:val="20"/>
              </w:rPr>
            </w:pPr>
            <w:r>
              <w:rPr>
                <w:rStyle w:val="53"/>
                <w:rFonts w:hint="default"/>
                <w:color w:val="auto"/>
              </w:rPr>
              <w:t>草原基层能力建设工程</w:t>
            </w:r>
          </w:p>
        </w:tc>
        <w:tc>
          <w:tcPr>
            <w:tcW w:w="1327" w:type="dxa"/>
            <w:shd w:val="clear" w:color="auto" w:fill="auto"/>
            <w:noWrap/>
            <w:tcMar>
              <w:top w:w="15" w:type="dxa"/>
              <w:left w:w="15" w:type="dxa"/>
              <w:right w:w="15" w:type="dxa"/>
            </w:tcMar>
            <w:vAlign w:val="center"/>
          </w:tcPr>
          <w:p w14:paraId="2574151B">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0C60008D">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5E599F9D">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1F03414A">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4C58F697">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2A559AE">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F0B6F90">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3248A6E0">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685A5669">
            <w:pPr>
              <w:jc w:val="center"/>
              <w:rPr>
                <w:rFonts w:ascii="Times New Roman" w:hAnsi="Times New Roman" w:eastAsia="宋体" w:cs="Times New Roman"/>
                <w:sz w:val="20"/>
                <w:szCs w:val="20"/>
              </w:rPr>
            </w:pPr>
          </w:p>
        </w:tc>
      </w:tr>
      <w:tr w14:paraId="1D25D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07D05003">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（1）</w:t>
            </w:r>
          </w:p>
        </w:tc>
        <w:tc>
          <w:tcPr>
            <w:tcW w:w="3246" w:type="dxa"/>
            <w:shd w:val="clear" w:color="auto" w:fill="auto"/>
            <w:noWrap/>
            <w:tcMar>
              <w:top w:w="15" w:type="dxa"/>
              <w:left w:w="15" w:type="dxa"/>
              <w:right w:w="15" w:type="dxa"/>
            </w:tcMar>
            <w:vAlign w:val="center"/>
          </w:tcPr>
          <w:p w14:paraId="181DA3C0">
            <w:pPr>
              <w:widowControl/>
              <w:jc w:val="center"/>
              <w:textAlignment w:val="center"/>
              <w:rPr>
                <w:rFonts w:ascii="Times New Roman" w:hAnsi="Times New Roman" w:eastAsia="宋体" w:cs="Times New Roman"/>
                <w:sz w:val="20"/>
                <w:szCs w:val="20"/>
              </w:rPr>
            </w:pPr>
            <w:r>
              <w:rPr>
                <w:rStyle w:val="53"/>
                <w:rFonts w:hint="default"/>
                <w:color w:val="auto"/>
              </w:rPr>
              <w:t>基层草原管理人员、管护员业务培训</w:t>
            </w:r>
          </w:p>
        </w:tc>
        <w:tc>
          <w:tcPr>
            <w:tcW w:w="1327" w:type="dxa"/>
            <w:shd w:val="clear" w:color="auto" w:fill="auto"/>
            <w:noWrap/>
            <w:tcMar>
              <w:top w:w="15" w:type="dxa"/>
              <w:left w:w="15" w:type="dxa"/>
              <w:right w:w="15" w:type="dxa"/>
            </w:tcMar>
            <w:vAlign w:val="center"/>
          </w:tcPr>
          <w:p w14:paraId="34C9315A">
            <w:pPr>
              <w:widowControl/>
              <w:jc w:val="center"/>
              <w:textAlignment w:val="center"/>
              <w:rPr>
                <w:rFonts w:ascii="Times New Roman" w:hAnsi="Times New Roman" w:eastAsia="宋体" w:cs="Times New Roman"/>
                <w:sz w:val="20"/>
                <w:szCs w:val="20"/>
              </w:rPr>
            </w:pPr>
            <w:r>
              <w:rPr>
                <w:rStyle w:val="53"/>
                <w:rFonts w:hint="default"/>
                <w:color w:val="auto"/>
              </w:rPr>
              <w:t>期</w:t>
            </w:r>
          </w:p>
        </w:tc>
        <w:tc>
          <w:tcPr>
            <w:tcW w:w="1264" w:type="dxa"/>
            <w:shd w:val="clear" w:color="auto" w:fill="auto"/>
            <w:noWrap/>
            <w:tcMar>
              <w:top w:w="15" w:type="dxa"/>
              <w:left w:w="15" w:type="dxa"/>
              <w:right w:w="15" w:type="dxa"/>
            </w:tcMar>
            <w:vAlign w:val="center"/>
          </w:tcPr>
          <w:p w14:paraId="5D2B16CD">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559BF9C8">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w:t>
            </w:r>
          </w:p>
        </w:tc>
        <w:tc>
          <w:tcPr>
            <w:tcW w:w="1152" w:type="dxa"/>
            <w:gridSpan w:val="2"/>
            <w:shd w:val="clear" w:color="auto" w:fill="auto"/>
            <w:noWrap/>
            <w:tcMar>
              <w:top w:w="15" w:type="dxa"/>
              <w:left w:w="15" w:type="dxa"/>
              <w:right w:w="15" w:type="dxa"/>
            </w:tcMar>
            <w:vAlign w:val="center"/>
          </w:tcPr>
          <w:p w14:paraId="54C0148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50</w:t>
            </w:r>
          </w:p>
        </w:tc>
        <w:tc>
          <w:tcPr>
            <w:tcW w:w="992" w:type="dxa"/>
            <w:gridSpan w:val="2"/>
            <w:shd w:val="clear" w:color="auto" w:fill="auto"/>
            <w:noWrap/>
            <w:tcMar>
              <w:top w:w="15" w:type="dxa"/>
              <w:left w:w="15" w:type="dxa"/>
              <w:right w:w="15" w:type="dxa"/>
            </w:tcMar>
            <w:vAlign w:val="center"/>
          </w:tcPr>
          <w:p w14:paraId="6E732DA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3D26E6CC">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w:t>
            </w:r>
            <w:r>
              <w:rPr>
                <w:rFonts w:hint="eastAsia" w:ascii="Times New Roman" w:hAnsi="Times New Roman" w:eastAsia="宋体" w:cs="Times New Roman"/>
                <w:kern w:val="0"/>
                <w:sz w:val="20"/>
                <w:szCs w:val="20"/>
              </w:rPr>
              <w:t>5</w:t>
            </w:r>
          </w:p>
        </w:tc>
        <w:tc>
          <w:tcPr>
            <w:tcW w:w="912" w:type="dxa"/>
            <w:gridSpan w:val="2"/>
            <w:shd w:val="clear" w:color="auto" w:fill="auto"/>
            <w:noWrap/>
            <w:tcMar>
              <w:top w:w="15" w:type="dxa"/>
              <w:left w:w="15" w:type="dxa"/>
              <w:right w:w="15" w:type="dxa"/>
            </w:tcMar>
            <w:vAlign w:val="center"/>
          </w:tcPr>
          <w:p w14:paraId="130B53D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962" w:type="dxa"/>
            <w:gridSpan w:val="2"/>
            <w:shd w:val="clear" w:color="auto" w:fill="auto"/>
            <w:noWrap/>
            <w:tcMar>
              <w:top w:w="15" w:type="dxa"/>
              <w:left w:w="15" w:type="dxa"/>
              <w:right w:w="15" w:type="dxa"/>
            </w:tcMar>
            <w:vAlign w:val="center"/>
          </w:tcPr>
          <w:p w14:paraId="33C2670A">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25</w:t>
            </w:r>
          </w:p>
        </w:tc>
        <w:tc>
          <w:tcPr>
            <w:tcW w:w="955" w:type="dxa"/>
            <w:gridSpan w:val="3"/>
            <w:shd w:val="clear" w:color="auto" w:fill="auto"/>
            <w:noWrap/>
            <w:tcMar>
              <w:top w:w="15" w:type="dxa"/>
              <w:left w:w="15" w:type="dxa"/>
              <w:right w:w="15" w:type="dxa"/>
            </w:tcMar>
            <w:vAlign w:val="center"/>
          </w:tcPr>
          <w:p w14:paraId="4BECAF34">
            <w:pPr>
              <w:widowControl/>
              <w:jc w:val="center"/>
              <w:textAlignment w:val="center"/>
              <w:rPr>
                <w:rFonts w:hint="eastAsia" w:ascii="Times New Roman" w:hAnsi="Times New Roman" w:eastAsia="宋体" w:cs="Times New Roman"/>
                <w:kern w:val="0"/>
                <w:sz w:val="20"/>
                <w:szCs w:val="20"/>
              </w:rPr>
            </w:pPr>
          </w:p>
        </w:tc>
      </w:tr>
      <w:tr w14:paraId="094B6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BC1B518">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（2）</w:t>
            </w:r>
          </w:p>
        </w:tc>
        <w:tc>
          <w:tcPr>
            <w:tcW w:w="3246" w:type="dxa"/>
            <w:shd w:val="clear" w:color="auto" w:fill="auto"/>
            <w:noWrap/>
            <w:tcMar>
              <w:top w:w="15" w:type="dxa"/>
              <w:left w:w="15" w:type="dxa"/>
              <w:right w:w="15" w:type="dxa"/>
            </w:tcMar>
            <w:vAlign w:val="center"/>
          </w:tcPr>
          <w:p w14:paraId="5E6DAAA9">
            <w:pPr>
              <w:widowControl/>
              <w:jc w:val="center"/>
              <w:textAlignment w:val="center"/>
              <w:rPr>
                <w:rStyle w:val="53"/>
                <w:rFonts w:hint="default"/>
                <w:color w:val="auto"/>
              </w:rPr>
            </w:pPr>
            <w:r>
              <w:rPr>
                <w:rStyle w:val="53"/>
                <w:rFonts w:hint="default"/>
                <w:color w:val="auto"/>
              </w:rPr>
              <w:t>配备办公设备、监测工具、交通工具等</w:t>
            </w:r>
          </w:p>
        </w:tc>
        <w:tc>
          <w:tcPr>
            <w:tcW w:w="1327" w:type="dxa"/>
            <w:shd w:val="clear" w:color="auto" w:fill="auto"/>
            <w:noWrap/>
            <w:tcMar>
              <w:top w:w="15" w:type="dxa"/>
              <w:left w:w="15" w:type="dxa"/>
              <w:right w:w="15" w:type="dxa"/>
            </w:tcMar>
            <w:vAlign w:val="center"/>
          </w:tcPr>
          <w:p w14:paraId="68BDAC1C">
            <w:pPr>
              <w:widowControl/>
              <w:jc w:val="center"/>
              <w:textAlignment w:val="center"/>
              <w:rPr>
                <w:rStyle w:val="53"/>
                <w:rFonts w:hint="default"/>
                <w:color w:val="auto"/>
              </w:rPr>
            </w:pPr>
            <w:r>
              <w:rPr>
                <w:rStyle w:val="53"/>
                <w:rFonts w:hint="default"/>
                <w:color w:val="auto"/>
              </w:rPr>
              <w:t>套</w:t>
            </w:r>
          </w:p>
        </w:tc>
        <w:tc>
          <w:tcPr>
            <w:tcW w:w="1264" w:type="dxa"/>
            <w:shd w:val="clear" w:color="auto" w:fill="auto"/>
            <w:noWrap/>
            <w:tcMar>
              <w:top w:w="15" w:type="dxa"/>
              <w:left w:w="15" w:type="dxa"/>
              <w:right w:w="15" w:type="dxa"/>
            </w:tcMar>
            <w:vAlign w:val="center"/>
          </w:tcPr>
          <w:p w14:paraId="4051EB59">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11</w:t>
            </w:r>
          </w:p>
        </w:tc>
        <w:tc>
          <w:tcPr>
            <w:tcW w:w="1334" w:type="dxa"/>
            <w:shd w:val="clear" w:color="auto" w:fill="auto"/>
            <w:noWrap/>
            <w:tcMar>
              <w:top w:w="15" w:type="dxa"/>
              <w:left w:w="15" w:type="dxa"/>
              <w:right w:w="15" w:type="dxa"/>
            </w:tcMar>
            <w:vAlign w:val="center"/>
          </w:tcPr>
          <w:p w14:paraId="3380D4E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w:t>
            </w:r>
          </w:p>
        </w:tc>
        <w:tc>
          <w:tcPr>
            <w:tcW w:w="1152" w:type="dxa"/>
            <w:gridSpan w:val="2"/>
            <w:shd w:val="clear" w:color="auto" w:fill="auto"/>
            <w:noWrap/>
            <w:tcMar>
              <w:top w:w="15" w:type="dxa"/>
              <w:left w:w="15" w:type="dxa"/>
              <w:right w:w="15" w:type="dxa"/>
            </w:tcMar>
            <w:vAlign w:val="center"/>
          </w:tcPr>
          <w:p w14:paraId="49C5250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220</w:t>
            </w:r>
          </w:p>
        </w:tc>
        <w:tc>
          <w:tcPr>
            <w:tcW w:w="992" w:type="dxa"/>
            <w:gridSpan w:val="2"/>
            <w:shd w:val="clear" w:color="auto" w:fill="auto"/>
            <w:noWrap/>
            <w:tcMar>
              <w:top w:w="15" w:type="dxa"/>
              <w:left w:w="15" w:type="dxa"/>
              <w:right w:w="15" w:type="dxa"/>
            </w:tcMar>
            <w:vAlign w:val="center"/>
          </w:tcPr>
          <w:p w14:paraId="05A9A8C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16DC46D5">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100</w:t>
            </w:r>
          </w:p>
        </w:tc>
        <w:tc>
          <w:tcPr>
            <w:tcW w:w="912" w:type="dxa"/>
            <w:gridSpan w:val="2"/>
            <w:shd w:val="clear" w:color="auto" w:fill="auto"/>
            <w:noWrap/>
            <w:tcMar>
              <w:top w:w="15" w:type="dxa"/>
              <w:left w:w="15" w:type="dxa"/>
              <w:right w:w="15" w:type="dxa"/>
            </w:tcMar>
            <w:vAlign w:val="center"/>
          </w:tcPr>
          <w:p w14:paraId="24F9EFB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6</w:t>
            </w:r>
          </w:p>
        </w:tc>
        <w:tc>
          <w:tcPr>
            <w:tcW w:w="962" w:type="dxa"/>
            <w:gridSpan w:val="2"/>
            <w:shd w:val="clear" w:color="auto" w:fill="auto"/>
            <w:noWrap/>
            <w:tcMar>
              <w:top w:w="15" w:type="dxa"/>
              <w:left w:w="15" w:type="dxa"/>
              <w:right w:w="15" w:type="dxa"/>
            </w:tcMar>
            <w:vAlign w:val="center"/>
          </w:tcPr>
          <w:p w14:paraId="469A9162">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120</w:t>
            </w:r>
          </w:p>
        </w:tc>
        <w:tc>
          <w:tcPr>
            <w:tcW w:w="955" w:type="dxa"/>
            <w:gridSpan w:val="3"/>
            <w:shd w:val="clear" w:color="auto" w:fill="auto"/>
            <w:noWrap/>
            <w:tcMar>
              <w:top w:w="15" w:type="dxa"/>
              <w:left w:w="15" w:type="dxa"/>
              <w:right w:w="15" w:type="dxa"/>
            </w:tcMar>
            <w:vAlign w:val="center"/>
          </w:tcPr>
          <w:p w14:paraId="3E4F51ED">
            <w:pPr>
              <w:widowControl/>
              <w:jc w:val="center"/>
              <w:textAlignment w:val="center"/>
              <w:rPr>
                <w:rFonts w:hint="eastAsia" w:ascii="Times New Roman" w:hAnsi="Times New Roman" w:eastAsia="宋体" w:cs="Times New Roman"/>
                <w:kern w:val="0"/>
                <w:sz w:val="20"/>
                <w:szCs w:val="20"/>
              </w:rPr>
            </w:pPr>
          </w:p>
        </w:tc>
      </w:tr>
      <w:tr w14:paraId="65E53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4FAF3FC7">
            <w:pPr>
              <w:jc w:val="center"/>
              <w:rPr>
                <w:rFonts w:ascii="Times New Roman" w:hAnsi="Times New Roman" w:eastAsia="宋体" w:cs="Times New Roman"/>
                <w:sz w:val="20"/>
                <w:szCs w:val="20"/>
              </w:rPr>
            </w:pPr>
            <w:r>
              <w:rPr>
                <w:rFonts w:hint="eastAsia" w:ascii="Times New Roman" w:hAnsi="Times New Roman" w:eastAsia="宋体" w:cs="Times New Roman"/>
                <w:sz w:val="20"/>
                <w:szCs w:val="20"/>
              </w:rPr>
              <w:t>（3）</w:t>
            </w:r>
          </w:p>
        </w:tc>
        <w:tc>
          <w:tcPr>
            <w:tcW w:w="3246" w:type="dxa"/>
            <w:shd w:val="clear" w:color="auto" w:fill="auto"/>
            <w:noWrap/>
            <w:tcMar>
              <w:top w:w="15" w:type="dxa"/>
              <w:left w:w="15" w:type="dxa"/>
              <w:right w:w="15" w:type="dxa"/>
            </w:tcMar>
            <w:vAlign w:val="center"/>
          </w:tcPr>
          <w:p w14:paraId="07C5CEAF">
            <w:pPr>
              <w:widowControl/>
              <w:jc w:val="center"/>
              <w:textAlignment w:val="center"/>
              <w:rPr>
                <w:rStyle w:val="53"/>
                <w:rFonts w:hint="default"/>
                <w:color w:val="auto"/>
              </w:rPr>
            </w:pPr>
            <w:r>
              <w:rPr>
                <w:rStyle w:val="53"/>
                <w:rFonts w:hint="default"/>
                <w:color w:val="auto"/>
              </w:rPr>
              <w:t>宣传教育、宣传资料</w:t>
            </w:r>
          </w:p>
        </w:tc>
        <w:tc>
          <w:tcPr>
            <w:tcW w:w="1327" w:type="dxa"/>
            <w:shd w:val="clear" w:color="auto" w:fill="auto"/>
            <w:noWrap/>
            <w:tcMar>
              <w:top w:w="15" w:type="dxa"/>
              <w:left w:w="15" w:type="dxa"/>
              <w:right w:w="15" w:type="dxa"/>
            </w:tcMar>
            <w:vAlign w:val="center"/>
          </w:tcPr>
          <w:p w14:paraId="2CC96CED">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33D015A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5F6C3EF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1152" w:type="dxa"/>
            <w:gridSpan w:val="2"/>
            <w:shd w:val="clear" w:color="auto" w:fill="auto"/>
            <w:noWrap/>
            <w:tcMar>
              <w:top w:w="15" w:type="dxa"/>
              <w:left w:w="15" w:type="dxa"/>
              <w:right w:w="15" w:type="dxa"/>
            </w:tcMar>
            <w:vAlign w:val="center"/>
          </w:tcPr>
          <w:p w14:paraId="12054D88">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992" w:type="dxa"/>
            <w:gridSpan w:val="2"/>
            <w:shd w:val="clear" w:color="auto" w:fill="auto"/>
            <w:noWrap/>
            <w:tcMar>
              <w:top w:w="15" w:type="dxa"/>
              <w:left w:w="15" w:type="dxa"/>
              <w:right w:w="15" w:type="dxa"/>
            </w:tcMar>
            <w:vAlign w:val="center"/>
          </w:tcPr>
          <w:p w14:paraId="02CBA09A">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6128CE55">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912" w:type="dxa"/>
            <w:gridSpan w:val="2"/>
            <w:shd w:val="clear" w:color="auto" w:fill="auto"/>
            <w:noWrap/>
            <w:tcMar>
              <w:top w:w="15" w:type="dxa"/>
              <w:left w:w="15" w:type="dxa"/>
              <w:right w:w="15" w:type="dxa"/>
            </w:tcMar>
            <w:vAlign w:val="center"/>
          </w:tcPr>
          <w:p w14:paraId="5576845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78AFFB9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955" w:type="dxa"/>
            <w:gridSpan w:val="3"/>
            <w:shd w:val="clear" w:color="auto" w:fill="auto"/>
            <w:noWrap/>
            <w:tcMar>
              <w:top w:w="15" w:type="dxa"/>
              <w:left w:w="15" w:type="dxa"/>
              <w:right w:w="15" w:type="dxa"/>
            </w:tcMar>
            <w:vAlign w:val="center"/>
          </w:tcPr>
          <w:p w14:paraId="5162DEFC">
            <w:pPr>
              <w:widowControl/>
              <w:jc w:val="center"/>
              <w:textAlignment w:val="center"/>
              <w:rPr>
                <w:rFonts w:hint="eastAsia" w:ascii="Times New Roman" w:hAnsi="Times New Roman" w:eastAsia="宋体" w:cs="Times New Roman"/>
                <w:kern w:val="0"/>
                <w:sz w:val="20"/>
                <w:szCs w:val="20"/>
              </w:rPr>
            </w:pPr>
          </w:p>
        </w:tc>
      </w:tr>
      <w:tr w14:paraId="0E6D6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7353EA25">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6</w:t>
            </w:r>
          </w:p>
        </w:tc>
        <w:tc>
          <w:tcPr>
            <w:tcW w:w="3246" w:type="dxa"/>
            <w:shd w:val="clear" w:color="auto" w:fill="auto"/>
            <w:noWrap/>
            <w:tcMar>
              <w:top w:w="15" w:type="dxa"/>
              <w:left w:w="15" w:type="dxa"/>
              <w:right w:w="15" w:type="dxa"/>
            </w:tcMar>
            <w:vAlign w:val="center"/>
          </w:tcPr>
          <w:p w14:paraId="0282E401">
            <w:pPr>
              <w:widowControl/>
              <w:jc w:val="center"/>
              <w:textAlignment w:val="center"/>
              <w:rPr>
                <w:rFonts w:ascii="Times New Roman" w:hAnsi="Times New Roman" w:eastAsia="宋体" w:cs="Times New Roman"/>
                <w:sz w:val="20"/>
                <w:szCs w:val="20"/>
              </w:rPr>
            </w:pPr>
            <w:r>
              <w:rPr>
                <w:rStyle w:val="53"/>
                <w:rFonts w:hint="default"/>
                <w:color w:val="auto"/>
              </w:rPr>
              <w:t>生态价值转换机制建设工程</w:t>
            </w:r>
          </w:p>
        </w:tc>
        <w:tc>
          <w:tcPr>
            <w:tcW w:w="1327" w:type="dxa"/>
            <w:shd w:val="clear" w:color="auto" w:fill="auto"/>
            <w:noWrap/>
            <w:tcMar>
              <w:top w:w="15" w:type="dxa"/>
              <w:left w:w="15" w:type="dxa"/>
              <w:right w:w="15" w:type="dxa"/>
            </w:tcMar>
            <w:vAlign w:val="center"/>
          </w:tcPr>
          <w:p w14:paraId="186ADAE0">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6D331491">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67673136">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38CCC0DF">
            <w:pPr>
              <w:jc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1205B8EE">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3EC9A63D">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1FAAEB3A">
            <w:pPr>
              <w:jc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126C652">
            <w:pPr>
              <w:jc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0239A548">
            <w:pPr>
              <w:jc w:val="center"/>
              <w:rPr>
                <w:rFonts w:ascii="Times New Roman" w:hAnsi="Times New Roman" w:eastAsia="宋体" w:cs="Times New Roman"/>
                <w:sz w:val="20"/>
                <w:szCs w:val="20"/>
              </w:rPr>
            </w:pPr>
          </w:p>
        </w:tc>
      </w:tr>
      <w:tr w14:paraId="7CD0D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3E3DCE84">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42845D75">
            <w:pPr>
              <w:widowControl/>
              <w:jc w:val="center"/>
              <w:textAlignment w:val="center"/>
              <w:rPr>
                <w:rFonts w:ascii="Times New Roman" w:hAnsi="Times New Roman" w:eastAsia="宋体" w:cs="Times New Roman"/>
                <w:sz w:val="20"/>
                <w:szCs w:val="20"/>
              </w:rPr>
            </w:pPr>
            <w:r>
              <w:rPr>
                <w:rStyle w:val="53"/>
                <w:rFonts w:hint="default"/>
                <w:color w:val="auto"/>
              </w:rPr>
              <w:t>生态产品调查监测</w:t>
            </w:r>
          </w:p>
        </w:tc>
        <w:tc>
          <w:tcPr>
            <w:tcW w:w="1327" w:type="dxa"/>
            <w:shd w:val="clear" w:color="auto" w:fill="auto"/>
            <w:noWrap/>
            <w:tcMar>
              <w:top w:w="15" w:type="dxa"/>
              <w:left w:w="15" w:type="dxa"/>
              <w:right w:w="15" w:type="dxa"/>
            </w:tcMar>
            <w:vAlign w:val="center"/>
          </w:tcPr>
          <w:p w14:paraId="12A022F2">
            <w:pPr>
              <w:widowControl/>
              <w:jc w:val="center"/>
              <w:textAlignment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4BAAC843">
            <w:pPr>
              <w:widowControl/>
              <w:jc w:val="center"/>
              <w:textAlignment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D9830F1">
            <w:pPr>
              <w:widowControl/>
              <w:jc w:val="center"/>
              <w:textAlignment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7D8B0287">
            <w:pPr>
              <w:widowControl/>
              <w:jc w:val="center"/>
              <w:textAlignment w:val="center"/>
              <w:rPr>
                <w:rFonts w:ascii="Times New Roman" w:hAnsi="Times New Roman" w:eastAsia="宋体" w:cs="Times New Roman"/>
                <w:sz w:val="20"/>
                <w:szCs w:val="20"/>
              </w:rPr>
            </w:pPr>
          </w:p>
        </w:tc>
        <w:tc>
          <w:tcPr>
            <w:tcW w:w="992" w:type="dxa"/>
            <w:gridSpan w:val="2"/>
            <w:shd w:val="clear" w:color="auto" w:fill="auto"/>
            <w:noWrap/>
            <w:tcMar>
              <w:top w:w="15" w:type="dxa"/>
              <w:left w:w="15" w:type="dxa"/>
              <w:right w:w="15" w:type="dxa"/>
            </w:tcMar>
            <w:vAlign w:val="center"/>
          </w:tcPr>
          <w:p w14:paraId="68C10962">
            <w:pPr>
              <w:widowControl/>
              <w:jc w:val="center"/>
              <w:textAlignment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4FF0896">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2AC7333E">
            <w:pPr>
              <w:widowControl/>
              <w:jc w:val="center"/>
              <w:textAlignment w:val="center"/>
              <w:rPr>
                <w:rFonts w:ascii="Times New Roman" w:hAnsi="Times New Roman" w:eastAsia="宋体" w:cs="Times New Roman"/>
                <w:sz w:val="20"/>
                <w:szCs w:val="20"/>
              </w:rPr>
            </w:pPr>
          </w:p>
        </w:tc>
        <w:tc>
          <w:tcPr>
            <w:tcW w:w="962" w:type="dxa"/>
            <w:gridSpan w:val="2"/>
            <w:shd w:val="clear" w:color="auto" w:fill="auto"/>
            <w:noWrap/>
            <w:tcMar>
              <w:top w:w="15" w:type="dxa"/>
              <w:left w:w="15" w:type="dxa"/>
              <w:right w:w="15" w:type="dxa"/>
            </w:tcMar>
            <w:vAlign w:val="center"/>
          </w:tcPr>
          <w:p w14:paraId="145ED9F2">
            <w:pPr>
              <w:widowControl/>
              <w:jc w:val="center"/>
              <w:textAlignment w:val="center"/>
              <w:rPr>
                <w:rFonts w:ascii="Times New Roman" w:hAnsi="Times New Roman" w:eastAsia="宋体" w:cs="Times New Roman"/>
                <w:sz w:val="20"/>
                <w:szCs w:val="20"/>
              </w:rPr>
            </w:pPr>
          </w:p>
        </w:tc>
        <w:tc>
          <w:tcPr>
            <w:tcW w:w="955" w:type="dxa"/>
            <w:gridSpan w:val="3"/>
            <w:shd w:val="clear" w:color="auto" w:fill="auto"/>
            <w:noWrap/>
            <w:tcMar>
              <w:top w:w="15" w:type="dxa"/>
              <w:left w:w="15" w:type="dxa"/>
              <w:right w:w="15" w:type="dxa"/>
            </w:tcMar>
            <w:vAlign w:val="center"/>
          </w:tcPr>
          <w:p w14:paraId="7A3A331A">
            <w:pPr>
              <w:widowControl/>
              <w:jc w:val="center"/>
              <w:textAlignment w:val="center"/>
              <w:rPr>
                <w:rFonts w:ascii="Times New Roman" w:hAnsi="Times New Roman" w:eastAsia="宋体" w:cs="Times New Roman"/>
                <w:sz w:val="20"/>
                <w:szCs w:val="20"/>
              </w:rPr>
            </w:pPr>
          </w:p>
        </w:tc>
      </w:tr>
      <w:tr w14:paraId="380E8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6E43E71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5BE6BCA3">
            <w:pPr>
              <w:widowControl/>
              <w:jc w:val="center"/>
              <w:textAlignment w:val="center"/>
              <w:rPr>
                <w:rStyle w:val="53"/>
                <w:rFonts w:hint="default"/>
                <w:color w:val="auto"/>
              </w:rPr>
            </w:pPr>
            <w:r>
              <w:rPr>
                <w:rStyle w:val="53"/>
                <w:rFonts w:hint="default"/>
                <w:color w:val="auto"/>
              </w:rPr>
              <w:t>生态产品基础信息普查</w:t>
            </w:r>
          </w:p>
        </w:tc>
        <w:tc>
          <w:tcPr>
            <w:tcW w:w="1327" w:type="dxa"/>
            <w:shd w:val="clear" w:color="auto" w:fill="auto"/>
            <w:noWrap/>
            <w:tcMar>
              <w:top w:w="15" w:type="dxa"/>
              <w:left w:w="15" w:type="dxa"/>
              <w:right w:w="15" w:type="dxa"/>
            </w:tcMar>
            <w:vAlign w:val="center"/>
          </w:tcPr>
          <w:p w14:paraId="54173B5A">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1A5C5EDD">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1334" w:type="dxa"/>
            <w:shd w:val="clear" w:color="auto" w:fill="auto"/>
            <w:noWrap/>
            <w:tcMar>
              <w:top w:w="15" w:type="dxa"/>
              <w:left w:w="15" w:type="dxa"/>
              <w:right w:w="15" w:type="dxa"/>
            </w:tcMar>
            <w:vAlign w:val="center"/>
          </w:tcPr>
          <w:p w14:paraId="398BE8D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71F5A0EC">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400</w:t>
            </w:r>
          </w:p>
        </w:tc>
        <w:tc>
          <w:tcPr>
            <w:tcW w:w="992" w:type="dxa"/>
            <w:gridSpan w:val="2"/>
            <w:shd w:val="clear" w:color="auto" w:fill="auto"/>
            <w:noWrap/>
            <w:tcMar>
              <w:top w:w="15" w:type="dxa"/>
              <w:left w:w="15" w:type="dxa"/>
              <w:right w:w="15" w:type="dxa"/>
            </w:tcMar>
            <w:vAlign w:val="center"/>
          </w:tcPr>
          <w:p w14:paraId="19F8DCA3">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w:t>
            </w:r>
          </w:p>
        </w:tc>
        <w:tc>
          <w:tcPr>
            <w:tcW w:w="1214" w:type="dxa"/>
            <w:gridSpan w:val="3"/>
            <w:shd w:val="clear" w:color="auto" w:fill="auto"/>
            <w:noWrap/>
            <w:tcMar>
              <w:top w:w="15" w:type="dxa"/>
              <w:left w:w="15" w:type="dxa"/>
              <w:right w:w="15" w:type="dxa"/>
            </w:tcMar>
            <w:vAlign w:val="center"/>
          </w:tcPr>
          <w:p w14:paraId="39A3103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912" w:type="dxa"/>
            <w:gridSpan w:val="2"/>
            <w:shd w:val="clear" w:color="auto" w:fill="auto"/>
            <w:noWrap/>
            <w:tcMar>
              <w:top w:w="15" w:type="dxa"/>
              <w:left w:w="15" w:type="dxa"/>
              <w:right w:w="15" w:type="dxa"/>
            </w:tcMar>
            <w:vAlign w:val="center"/>
          </w:tcPr>
          <w:p w14:paraId="5E1AD02A">
            <w:pPr>
              <w:widowControl/>
              <w:jc w:val="center"/>
              <w:textAlignment w:val="center"/>
              <w:rPr>
                <w:rFonts w:ascii="Times New Roman" w:hAnsi="Times New Roman" w:eastAsia="宋体" w:cs="Times New Roman"/>
                <w:kern w:val="0"/>
                <w:sz w:val="20"/>
                <w:szCs w:val="20"/>
              </w:rPr>
            </w:pPr>
            <w:r>
              <w:rPr>
                <w:rStyle w:val="53"/>
                <w:rFonts w:hint="default"/>
                <w:color w:val="auto"/>
              </w:rPr>
              <w:t>1</w:t>
            </w:r>
          </w:p>
        </w:tc>
        <w:tc>
          <w:tcPr>
            <w:tcW w:w="962" w:type="dxa"/>
            <w:gridSpan w:val="2"/>
            <w:shd w:val="clear" w:color="auto" w:fill="auto"/>
            <w:noWrap/>
            <w:tcMar>
              <w:top w:w="15" w:type="dxa"/>
              <w:left w:w="15" w:type="dxa"/>
              <w:right w:w="15" w:type="dxa"/>
            </w:tcMar>
            <w:vAlign w:val="center"/>
          </w:tcPr>
          <w:p w14:paraId="56F46FF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200</w:t>
            </w:r>
          </w:p>
        </w:tc>
        <w:tc>
          <w:tcPr>
            <w:tcW w:w="955" w:type="dxa"/>
            <w:gridSpan w:val="3"/>
            <w:shd w:val="clear" w:color="auto" w:fill="auto"/>
            <w:noWrap/>
            <w:tcMar>
              <w:top w:w="15" w:type="dxa"/>
              <w:left w:w="15" w:type="dxa"/>
              <w:right w:w="15" w:type="dxa"/>
            </w:tcMar>
            <w:vAlign w:val="center"/>
          </w:tcPr>
          <w:p w14:paraId="5AF55F78">
            <w:pPr>
              <w:widowControl/>
              <w:jc w:val="center"/>
              <w:textAlignment w:val="center"/>
              <w:rPr>
                <w:rFonts w:hint="eastAsia" w:ascii="Times New Roman" w:hAnsi="Times New Roman" w:eastAsia="宋体" w:cs="Times New Roman"/>
                <w:kern w:val="0"/>
                <w:sz w:val="20"/>
                <w:szCs w:val="20"/>
              </w:rPr>
            </w:pPr>
          </w:p>
        </w:tc>
      </w:tr>
      <w:tr w14:paraId="4B995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1C07295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5302187E">
            <w:pPr>
              <w:widowControl/>
              <w:jc w:val="center"/>
              <w:textAlignment w:val="center"/>
              <w:rPr>
                <w:rStyle w:val="53"/>
                <w:rFonts w:hint="default"/>
                <w:color w:val="auto"/>
              </w:rPr>
            </w:pPr>
            <w:r>
              <w:rPr>
                <w:rStyle w:val="53"/>
                <w:rFonts w:hint="default"/>
                <w:color w:val="auto"/>
              </w:rPr>
              <w:t>生态产品基础信息动态监测</w:t>
            </w:r>
          </w:p>
        </w:tc>
        <w:tc>
          <w:tcPr>
            <w:tcW w:w="1327" w:type="dxa"/>
            <w:shd w:val="clear" w:color="auto" w:fill="auto"/>
            <w:noWrap/>
            <w:tcMar>
              <w:top w:w="15" w:type="dxa"/>
              <w:left w:w="15" w:type="dxa"/>
              <w:right w:w="15" w:type="dxa"/>
            </w:tcMar>
            <w:vAlign w:val="center"/>
          </w:tcPr>
          <w:p w14:paraId="7386A24B">
            <w:pPr>
              <w:widowControl/>
              <w:jc w:val="center"/>
              <w:textAlignment w:val="center"/>
              <w:rPr>
                <w:rStyle w:val="53"/>
                <w:rFonts w:hint="default"/>
                <w:color w:val="auto"/>
              </w:rPr>
            </w:pPr>
            <w:r>
              <w:rPr>
                <w:rStyle w:val="53"/>
                <w:rFonts w:hint="default"/>
                <w:color w:val="auto"/>
              </w:rPr>
              <w:t>次</w:t>
            </w:r>
          </w:p>
        </w:tc>
        <w:tc>
          <w:tcPr>
            <w:tcW w:w="1264" w:type="dxa"/>
            <w:shd w:val="clear" w:color="auto" w:fill="auto"/>
            <w:noWrap/>
            <w:tcMar>
              <w:top w:w="15" w:type="dxa"/>
              <w:left w:w="15" w:type="dxa"/>
              <w:right w:w="15" w:type="dxa"/>
            </w:tcMar>
            <w:vAlign w:val="center"/>
          </w:tcPr>
          <w:p w14:paraId="6D3A610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10</w:t>
            </w:r>
          </w:p>
        </w:tc>
        <w:tc>
          <w:tcPr>
            <w:tcW w:w="1334" w:type="dxa"/>
            <w:shd w:val="clear" w:color="auto" w:fill="auto"/>
            <w:noWrap/>
            <w:tcMar>
              <w:top w:w="15" w:type="dxa"/>
              <w:left w:w="15" w:type="dxa"/>
              <w:right w:w="15" w:type="dxa"/>
            </w:tcMar>
            <w:vAlign w:val="center"/>
          </w:tcPr>
          <w:p w14:paraId="63A6EC41">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w:t>
            </w:r>
          </w:p>
        </w:tc>
        <w:tc>
          <w:tcPr>
            <w:tcW w:w="1152" w:type="dxa"/>
            <w:gridSpan w:val="2"/>
            <w:shd w:val="clear" w:color="auto" w:fill="auto"/>
            <w:noWrap/>
            <w:tcMar>
              <w:top w:w="15" w:type="dxa"/>
              <w:left w:w="15" w:type="dxa"/>
              <w:right w:w="15" w:type="dxa"/>
            </w:tcMar>
            <w:vAlign w:val="center"/>
          </w:tcPr>
          <w:p w14:paraId="678E1BA0">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500</w:t>
            </w:r>
          </w:p>
        </w:tc>
        <w:tc>
          <w:tcPr>
            <w:tcW w:w="992" w:type="dxa"/>
            <w:gridSpan w:val="2"/>
            <w:shd w:val="clear" w:color="auto" w:fill="auto"/>
            <w:noWrap/>
            <w:tcMar>
              <w:top w:w="15" w:type="dxa"/>
              <w:left w:w="15" w:type="dxa"/>
              <w:right w:w="15" w:type="dxa"/>
            </w:tcMar>
            <w:vAlign w:val="center"/>
          </w:tcPr>
          <w:p w14:paraId="1775D32F">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1214" w:type="dxa"/>
            <w:gridSpan w:val="3"/>
            <w:shd w:val="clear" w:color="auto" w:fill="auto"/>
            <w:noWrap/>
            <w:tcMar>
              <w:top w:w="15" w:type="dxa"/>
              <w:left w:w="15" w:type="dxa"/>
              <w:right w:w="15" w:type="dxa"/>
            </w:tcMar>
            <w:vAlign w:val="center"/>
          </w:tcPr>
          <w:p w14:paraId="2524D96D">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250</w:t>
            </w:r>
          </w:p>
        </w:tc>
        <w:tc>
          <w:tcPr>
            <w:tcW w:w="912" w:type="dxa"/>
            <w:gridSpan w:val="2"/>
            <w:shd w:val="clear" w:color="auto" w:fill="auto"/>
            <w:noWrap/>
            <w:tcMar>
              <w:top w:w="15" w:type="dxa"/>
              <w:left w:w="15" w:type="dxa"/>
              <w:right w:w="15" w:type="dxa"/>
            </w:tcMar>
            <w:vAlign w:val="center"/>
          </w:tcPr>
          <w:p w14:paraId="683BA227">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5</w:t>
            </w:r>
          </w:p>
        </w:tc>
        <w:tc>
          <w:tcPr>
            <w:tcW w:w="962" w:type="dxa"/>
            <w:gridSpan w:val="2"/>
            <w:shd w:val="clear" w:color="auto" w:fill="auto"/>
            <w:noWrap/>
            <w:tcMar>
              <w:top w:w="15" w:type="dxa"/>
              <w:left w:w="15" w:type="dxa"/>
              <w:right w:w="15" w:type="dxa"/>
            </w:tcMar>
            <w:vAlign w:val="center"/>
          </w:tcPr>
          <w:p w14:paraId="69FD2F16">
            <w:pPr>
              <w:widowControl/>
              <w:jc w:val="center"/>
              <w:textAlignment w:val="center"/>
              <w:rPr>
                <w:rFonts w:ascii="Times New Roman" w:hAnsi="Times New Roman" w:eastAsia="宋体" w:cs="Times New Roman"/>
                <w:kern w:val="0"/>
                <w:sz w:val="20"/>
                <w:szCs w:val="20"/>
              </w:rPr>
            </w:pPr>
            <w:r>
              <w:rPr>
                <w:rFonts w:hint="eastAsia" w:ascii="Times New Roman" w:hAnsi="Times New Roman" w:eastAsia="宋体" w:cs="Times New Roman"/>
                <w:kern w:val="0"/>
                <w:sz w:val="20"/>
                <w:szCs w:val="20"/>
              </w:rPr>
              <w:t>250</w:t>
            </w:r>
          </w:p>
        </w:tc>
        <w:tc>
          <w:tcPr>
            <w:tcW w:w="955" w:type="dxa"/>
            <w:gridSpan w:val="3"/>
            <w:shd w:val="clear" w:color="auto" w:fill="auto"/>
            <w:noWrap/>
            <w:tcMar>
              <w:top w:w="15" w:type="dxa"/>
              <w:left w:w="15" w:type="dxa"/>
              <w:right w:w="15" w:type="dxa"/>
            </w:tcMar>
            <w:vAlign w:val="center"/>
          </w:tcPr>
          <w:p w14:paraId="69C63473">
            <w:pPr>
              <w:widowControl/>
              <w:jc w:val="center"/>
              <w:textAlignment w:val="center"/>
              <w:rPr>
                <w:rFonts w:hint="eastAsia" w:ascii="Times New Roman" w:hAnsi="Times New Roman" w:eastAsia="宋体" w:cs="Times New Roman"/>
                <w:kern w:val="0"/>
                <w:sz w:val="20"/>
                <w:szCs w:val="20"/>
              </w:rPr>
            </w:pPr>
          </w:p>
        </w:tc>
      </w:tr>
      <w:tr w14:paraId="7ECFA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7A3794E">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07C313B9">
            <w:pPr>
              <w:widowControl/>
              <w:jc w:val="center"/>
              <w:textAlignment w:val="center"/>
              <w:rPr>
                <w:rFonts w:ascii="Times New Roman" w:hAnsi="Times New Roman" w:eastAsia="宋体" w:cs="Times New Roman"/>
                <w:sz w:val="20"/>
                <w:szCs w:val="20"/>
              </w:rPr>
            </w:pPr>
            <w:r>
              <w:rPr>
                <w:rStyle w:val="53"/>
                <w:rFonts w:hint="default"/>
                <w:color w:val="auto"/>
              </w:rPr>
              <w:t>生态产品价值核算</w:t>
            </w:r>
          </w:p>
        </w:tc>
        <w:tc>
          <w:tcPr>
            <w:tcW w:w="1327" w:type="dxa"/>
            <w:shd w:val="clear" w:color="auto" w:fill="auto"/>
            <w:noWrap/>
            <w:tcMar>
              <w:top w:w="15" w:type="dxa"/>
              <w:left w:w="15" w:type="dxa"/>
              <w:right w:w="15" w:type="dxa"/>
            </w:tcMar>
            <w:vAlign w:val="center"/>
          </w:tcPr>
          <w:p w14:paraId="4B8F2AE3">
            <w:pPr>
              <w:widowControl/>
              <w:jc w:val="center"/>
              <w:textAlignment w:val="center"/>
              <w:rPr>
                <w:rFonts w:ascii="Times New Roman" w:hAnsi="Times New Roman" w:eastAsia="宋体" w:cs="Times New Roman"/>
                <w:sz w:val="20"/>
                <w:szCs w:val="20"/>
              </w:rPr>
            </w:pPr>
            <w:r>
              <w:rPr>
                <w:rStyle w:val="53"/>
                <w:rFonts w:hint="default"/>
                <w:color w:val="auto"/>
              </w:rPr>
              <w:t>项</w:t>
            </w:r>
          </w:p>
        </w:tc>
        <w:tc>
          <w:tcPr>
            <w:tcW w:w="1264" w:type="dxa"/>
            <w:shd w:val="clear" w:color="auto" w:fill="auto"/>
            <w:noWrap/>
            <w:tcMar>
              <w:top w:w="15" w:type="dxa"/>
              <w:left w:w="15" w:type="dxa"/>
              <w:right w:w="15" w:type="dxa"/>
            </w:tcMar>
            <w:vAlign w:val="center"/>
          </w:tcPr>
          <w:p w14:paraId="035F80A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0AB74B2E">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1152" w:type="dxa"/>
            <w:gridSpan w:val="2"/>
            <w:shd w:val="clear" w:color="auto" w:fill="auto"/>
            <w:noWrap/>
            <w:tcMar>
              <w:top w:w="15" w:type="dxa"/>
              <w:left w:w="15" w:type="dxa"/>
              <w:right w:w="15" w:type="dxa"/>
            </w:tcMar>
            <w:vAlign w:val="center"/>
          </w:tcPr>
          <w:p w14:paraId="52875539">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992" w:type="dxa"/>
            <w:gridSpan w:val="2"/>
            <w:shd w:val="clear" w:color="auto" w:fill="auto"/>
            <w:noWrap/>
            <w:tcMar>
              <w:top w:w="15" w:type="dxa"/>
              <w:left w:w="15" w:type="dxa"/>
              <w:right w:w="15" w:type="dxa"/>
            </w:tcMar>
            <w:vAlign w:val="center"/>
          </w:tcPr>
          <w:p w14:paraId="2F5C50A8">
            <w:pPr>
              <w:jc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64D2B718">
            <w:pPr>
              <w:jc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53B71EA7">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4EA108EB">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200</w:t>
            </w:r>
          </w:p>
        </w:tc>
        <w:tc>
          <w:tcPr>
            <w:tcW w:w="955" w:type="dxa"/>
            <w:gridSpan w:val="3"/>
            <w:shd w:val="clear" w:color="auto" w:fill="auto"/>
            <w:noWrap/>
            <w:tcMar>
              <w:top w:w="15" w:type="dxa"/>
              <w:left w:w="15" w:type="dxa"/>
              <w:right w:w="15" w:type="dxa"/>
            </w:tcMar>
            <w:vAlign w:val="center"/>
          </w:tcPr>
          <w:p w14:paraId="61EEFC01">
            <w:pPr>
              <w:widowControl/>
              <w:jc w:val="center"/>
              <w:textAlignment w:val="center"/>
              <w:rPr>
                <w:rFonts w:ascii="Times New Roman" w:hAnsi="Times New Roman" w:eastAsia="宋体" w:cs="Times New Roman"/>
                <w:kern w:val="0"/>
                <w:sz w:val="20"/>
                <w:szCs w:val="20"/>
              </w:rPr>
            </w:pPr>
          </w:p>
        </w:tc>
      </w:tr>
      <w:tr w14:paraId="20D89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2FE86C7C">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060AC081">
            <w:pPr>
              <w:widowControl/>
              <w:jc w:val="center"/>
              <w:textAlignment w:val="center"/>
              <w:rPr>
                <w:rFonts w:ascii="Times New Roman" w:hAnsi="Times New Roman" w:eastAsia="宋体" w:cs="Times New Roman"/>
                <w:sz w:val="20"/>
                <w:szCs w:val="20"/>
              </w:rPr>
            </w:pPr>
            <w:r>
              <w:rPr>
                <w:rStyle w:val="53"/>
                <w:rFonts w:hint="default"/>
                <w:color w:val="auto"/>
              </w:rPr>
              <w:t>生态产品交易中心</w:t>
            </w:r>
          </w:p>
        </w:tc>
        <w:tc>
          <w:tcPr>
            <w:tcW w:w="1327" w:type="dxa"/>
            <w:shd w:val="clear" w:color="auto" w:fill="auto"/>
            <w:noWrap/>
            <w:tcMar>
              <w:top w:w="15" w:type="dxa"/>
              <w:left w:w="15" w:type="dxa"/>
              <w:right w:w="15" w:type="dxa"/>
            </w:tcMar>
            <w:vAlign w:val="center"/>
          </w:tcPr>
          <w:p w14:paraId="679D8B90">
            <w:pPr>
              <w:widowControl/>
              <w:jc w:val="center"/>
              <w:textAlignment w:val="center"/>
              <w:rPr>
                <w:rFonts w:ascii="Times New Roman" w:hAnsi="Times New Roman" w:eastAsia="宋体" w:cs="Times New Roman"/>
                <w:sz w:val="20"/>
                <w:szCs w:val="20"/>
              </w:rPr>
            </w:pPr>
            <w:r>
              <w:rPr>
                <w:rStyle w:val="53"/>
                <w:rFonts w:hint="default"/>
                <w:color w:val="auto"/>
              </w:rPr>
              <w:t>个</w:t>
            </w:r>
          </w:p>
        </w:tc>
        <w:tc>
          <w:tcPr>
            <w:tcW w:w="1264" w:type="dxa"/>
            <w:shd w:val="clear" w:color="auto" w:fill="auto"/>
            <w:noWrap/>
            <w:tcMar>
              <w:top w:w="15" w:type="dxa"/>
              <w:left w:w="15" w:type="dxa"/>
              <w:right w:w="15" w:type="dxa"/>
            </w:tcMar>
            <w:vAlign w:val="center"/>
          </w:tcPr>
          <w:p w14:paraId="5F782EF6">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1334" w:type="dxa"/>
            <w:shd w:val="clear" w:color="auto" w:fill="auto"/>
            <w:noWrap/>
            <w:tcMar>
              <w:top w:w="15" w:type="dxa"/>
              <w:left w:w="15" w:type="dxa"/>
              <w:right w:w="15" w:type="dxa"/>
            </w:tcMar>
            <w:vAlign w:val="center"/>
          </w:tcPr>
          <w:p w14:paraId="6469E8C4">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1152" w:type="dxa"/>
            <w:gridSpan w:val="2"/>
            <w:shd w:val="clear" w:color="auto" w:fill="auto"/>
            <w:noWrap/>
            <w:tcMar>
              <w:top w:w="15" w:type="dxa"/>
              <w:left w:w="15" w:type="dxa"/>
              <w:right w:w="15" w:type="dxa"/>
            </w:tcMar>
            <w:vAlign w:val="center"/>
          </w:tcPr>
          <w:p w14:paraId="2D02C238">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300</w:t>
            </w:r>
          </w:p>
        </w:tc>
        <w:tc>
          <w:tcPr>
            <w:tcW w:w="992" w:type="dxa"/>
            <w:gridSpan w:val="2"/>
            <w:shd w:val="clear" w:color="auto" w:fill="auto"/>
            <w:noWrap/>
            <w:tcMar>
              <w:top w:w="15" w:type="dxa"/>
              <w:left w:w="15" w:type="dxa"/>
              <w:right w:w="15" w:type="dxa"/>
            </w:tcMar>
            <w:vAlign w:val="center"/>
          </w:tcPr>
          <w:p w14:paraId="14AC2D0C">
            <w:pPr>
              <w:widowControl/>
              <w:jc w:val="center"/>
              <w:textAlignment w:val="center"/>
              <w:rPr>
                <w:rFonts w:ascii="Times New Roman" w:hAnsi="Times New Roman" w:eastAsia="宋体" w:cs="Times New Roman"/>
                <w:sz w:val="20"/>
                <w:szCs w:val="20"/>
              </w:rPr>
            </w:pPr>
          </w:p>
        </w:tc>
        <w:tc>
          <w:tcPr>
            <w:tcW w:w="1214" w:type="dxa"/>
            <w:gridSpan w:val="3"/>
            <w:shd w:val="clear" w:color="auto" w:fill="auto"/>
            <w:noWrap/>
            <w:tcMar>
              <w:top w:w="15" w:type="dxa"/>
              <w:left w:w="15" w:type="dxa"/>
              <w:right w:w="15" w:type="dxa"/>
            </w:tcMar>
            <w:vAlign w:val="center"/>
          </w:tcPr>
          <w:p w14:paraId="2A39EAEC">
            <w:pPr>
              <w:widowControl/>
              <w:jc w:val="center"/>
              <w:textAlignment w:val="center"/>
              <w:rPr>
                <w:rFonts w:ascii="Times New Roman" w:hAnsi="Times New Roman" w:eastAsia="宋体" w:cs="Times New Roman"/>
                <w:sz w:val="20"/>
                <w:szCs w:val="20"/>
              </w:rPr>
            </w:pPr>
          </w:p>
        </w:tc>
        <w:tc>
          <w:tcPr>
            <w:tcW w:w="912" w:type="dxa"/>
            <w:gridSpan w:val="2"/>
            <w:shd w:val="clear" w:color="auto" w:fill="auto"/>
            <w:noWrap/>
            <w:tcMar>
              <w:top w:w="15" w:type="dxa"/>
              <w:left w:w="15" w:type="dxa"/>
              <w:right w:w="15" w:type="dxa"/>
            </w:tcMar>
            <w:vAlign w:val="center"/>
          </w:tcPr>
          <w:p w14:paraId="0CC29FD3">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1</w:t>
            </w:r>
          </w:p>
        </w:tc>
        <w:tc>
          <w:tcPr>
            <w:tcW w:w="962" w:type="dxa"/>
            <w:gridSpan w:val="2"/>
            <w:shd w:val="clear" w:color="auto" w:fill="auto"/>
            <w:noWrap/>
            <w:tcMar>
              <w:top w:w="15" w:type="dxa"/>
              <w:left w:w="15" w:type="dxa"/>
              <w:right w:w="15" w:type="dxa"/>
            </w:tcMar>
            <w:vAlign w:val="center"/>
          </w:tcPr>
          <w:p w14:paraId="4B5A5C26">
            <w:pPr>
              <w:widowControl/>
              <w:jc w:val="center"/>
              <w:textAlignment w:val="center"/>
              <w:rPr>
                <w:rFonts w:ascii="Times New Roman" w:hAnsi="Times New Roman" w:eastAsia="宋体" w:cs="Times New Roman"/>
                <w:sz w:val="20"/>
                <w:szCs w:val="20"/>
              </w:rPr>
            </w:pPr>
            <w:r>
              <w:rPr>
                <w:rFonts w:ascii="Times New Roman" w:hAnsi="Times New Roman" w:eastAsia="宋体" w:cs="Times New Roman"/>
                <w:kern w:val="0"/>
                <w:sz w:val="20"/>
                <w:szCs w:val="20"/>
              </w:rPr>
              <w:t>300</w:t>
            </w:r>
          </w:p>
        </w:tc>
        <w:tc>
          <w:tcPr>
            <w:tcW w:w="955" w:type="dxa"/>
            <w:gridSpan w:val="3"/>
            <w:shd w:val="clear" w:color="auto" w:fill="auto"/>
            <w:noWrap/>
            <w:tcMar>
              <w:top w:w="15" w:type="dxa"/>
              <w:left w:w="15" w:type="dxa"/>
              <w:right w:w="15" w:type="dxa"/>
            </w:tcMar>
            <w:vAlign w:val="center"/>
          </w:tcPr>
          <w:p w14:paraId="329162D4">
            <w:pPr>
              <w:widowControl/>
              <w:jc w:val="center"/>
              <w:textAlignment w:val="center"/>
              <w:rPr>
                <w:rFonts w:ascii="Times New Roman" w:hAnsi="Times New Roman" w:eastAsia="宋体" w:cs="Times New Roman"/>
                <w:kern w:val="0"/>
                <w:sz w:val="20"/>
                <w:szCs w:val="20"/>
              </w:rPr>
            </w:pPr>
          </w:p>
        </w:tc>
      </w:tr>
      <w:tr w14:paraId="35696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697" w:type="dxa"/>
            <w:shd w:val="clear" w:color="auto" w:fill="auto"/>
            <w:noWrap/>
            <w:tcMar>
              <w:top w:w="15" w:type="dxa"/>
              <w:left w:w="15" w:type="dxa"/>
              <w:right w:w="15" w:type="dxa"/>
            </w:tcMar>
            <w:vAlign w:val="center"/>
          </w:tcPr>
          <w:p w14:paraId="543334E5">
            <w:pPr>
              <w:widowControl/>
              <w:jc w:val="center"/>
              <w:textAlignment w:val="center"/>
              <w:rPr>
                <w:rFonts w:ascii="Times New Roman" w:hAnsi="Times New Roman" w:eastAsia="宋体" w:cs="Times New Roman"/>
                <w:b/>
                <w:sz w:val="20"/>
                <w:szCs w:val="20"/>
              </w:rPr>
            </w:pPr>
            <w:r>
              <w:rPr>
                <w:rStyle w:val="53"/>
                <w:rFonts w:hint="default"/>
                <w:b/>
                <w:color w:val="auto"/>
              </w:rPr>
              <w:t>二</w:t>
            </w:r>
          </w:p>
        </w:tc>
        <w:tc>
          <w:tcPr>
            <w:tcW w:w="3246" w:type="dxa"/>
            <w:shd w:val="clear" w:color="auto" w:fill="auto"/>
            <w:noWrap/>
            <w:tcMar>
              <w:top w:w="15" w:type="dxa"/>
              <w:left w:w="15" w:type="dxa"/>
              <w:right w:w="15" w:type="dxa"/>
            </w:tcMar>
            <w:vAlign w:val="center"/>
          </w:tcPr>
          <w:p w14:paraId="515CADAD">
            <w:pPr>
              <w:widowControl/>
              <w:jc w:val="center"/>
              <w:textAlignment w:val="center"/>
              <w:rPr>
                <w:rFonts w:ascii="Times New Roman" w:hAnsi="Times New Roman" w:eastAsia="宋体" w:cs="Times New Roman"/>
                <w:b/>
                <w:sz w:val="20"/>
                <w:szCs w:val="20"/>
              </w:rPr>
            </w:pPr>
            <w:r>
              <w:rPr>
                <w:rStyle w:val="53"/>
                <w:rFonts w:hint="default"/>
                <w:b/>
                <w:color w:val="auto"/>
              </w:rPr>
              <w:t>工程建设其他费用</w:t>
            </w:r>
          </w:p>
        </w:tc>
        <w:tc>
          <w:tcPr>
            <w:tcW w:w="1327" w:type="dxa"/>
            <w:shd w:val="clear" w:color="auto" w:fill="auto"/>
            <w:noWrap/>
            <w:tcMar>
              <w:top w:w="15" w:type="dxa"/>
              <w:left w:w="15" w:type="dxa"/>
              <w:right w:w="15" w:type="dxa"/>
            </w:tcMar>
            <w:vAlign w:val="center"/>
          </w:tcPr>
          <w:p w14:paraId="71052863">
            <w:pPr>
              <w:jc w:val="center"/>
              <w:rPr>
                <w:rFonts w:ascii="Times New Roman" w:hAnsi="Times New Roman" w:eastAsia="宋体" w:cs="Times New Roman"/>
                <w:sz w:val="20"/>
                <w:szCs w:val="20"/>
              </w:rPr>
            </w:pPr>
          </w:p>
        </w:tc>
        <w:tc>
          <w:tcPr>
            <w:tcW w:w="1264" w:type="dxa"/>
            <w:shd w:val="clear" w:color="auto" w:fill="auto"/>
            <w:noWrap/>
            <w:tcMar>
              <w:top w:w="15" w:type="dxa"/>
              <w:left w:w="15" w:type="dxa"/>
              <w:right w:w="15" w:type="dxa"/>
            </w:tcMar>
            <w:vAlign w:val="center"/>
          </w:tcPr>
          <w:p w14:paraId="4D087A9E">
            <w:pPr>
              <w:jc w:val="center"/>
              <w:rPr>
                <w:rFonts w:ascii="Times New Roman" w:hAnsi="Times New Roman" w:eastAsia="宋体" w:cs="Times New Roman"/>
                <w:sz w:val="20"/>
                <w:szCs w:val="20"/>
              </w:rPr>
            </w:pPr>
          </w:p>
        </w:tc>
        <w:tc>
          <w:tcPr>
            <w:tcW w:w="1334" w:type="dxa"/>
            <w:shd w:val="clear" w:color="auto" w:fill="auto"/>
            <w:noWrap/>
            <w:tcMar>
              <w:top w:w="15" w:type="dxa"/>
              <w:left w:w="15" w:type="dxa"/>
              <w:right w:w="15" w:type="dxa"/>
            </w:tcMar>
            <w:vAlign w:val="center"/>
          </w:tcPr>
          <w:p w14:paraId="17D0CA51">
            <w:pPr>
              <w:jc w:val="center"/>
              <w:rPr>
                <w:rFonts w:ascii="Times New Roman" w:hAnsi="Times New Roman" w:eastAsia="宋体" w:cs="Times New Roman"/>
                <w:sz w:val="20"/>
                <w:szCs w:val="20"/>
              </w:rPr>
            </w:pPr>
          </w:p>
        </w:tc>
        <w:tc>
          <w:tcPr>
            <w:tcW w:w="1152" w:type="dxa"/>
            <w:gridSpan w:val="2"/>
            <w:shd w:val="clear" w:color="auto" w:fill="auto"/>
            <w:noWrap/>
            <w:tcMar>
              <w:top w:w="15" w:type="dxa"/>
              <w:left w:w="15" w:type="dxa"/>
              <w:right w:w="15" w:type="dxa"/>
            </w:tcMar>
            <w:vAlign w:val="center"/>
          </w:tcPr>
          <w:p w14:paraId="22526219">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14163.27</w:t>
            </w:r>
          </w:p>
        </w:tc>
        <w:tc>
          <w:tcPr>
            <w:tcW w:w="992" w:type="dxa"/>
            <w:gridSpan w:val="2"/>
            <w:shd w:val="clear" w:color="auto" w:fill="auto"/>
            <w:noWrap/>
            <w:tcMar>
              <w:top w:w="15" w:type="dxa"/>
              <w:left w:w="15" w:type="dxa"/>
              <w:right w:w="15" w:type="dxa"/>
            </w:tcMar>
            <w:vAlign w:val="center"/>
          </w:tcPr>
          <w:p w14:paraId="60A9F24B">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221A2C8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7804.22</w:t>
            </w:r>
          </w:p>
        </w:tc>
        <w:tc>
          <w:tcPr>
            <w:tcW w:w="912" w:type="dxa"/>
            <w:gridSpan w:val="2"/>
            <w:shd w:val="clear" w:color="auto" w:fill="auto"/>
            <w:noWrap/>
            <w:tcMar>
              <w:top w:w="15" w:type="dxa"/>
              <w:left w:w="15" w:type="dxa"/>
              <w:right w:w="15" w:type="dxa"/>
            </w:tcMar>
            <w:vAlign w:val="center"/>
          </w:tcPr>
          <w:p w14:paraId="3A043D58">
            <w:pPr>
              <w:jc w:val="center"/>
              <w:rPr>
                <w:rFonts w:ascii="Times New Roman" w:hAnsi="Times New Roman" w:eastAsia="宋体" w:cs="Times New Roman"/>
                <w:color w:val="0000FF"/>
                <w:sz w:val="20"/>
                <w:szCs w:val="20"/>
              </w:rPr>
            </w:pPr>
          </w:p>
        </w:tc>
        <w:tc>
          <w:tcPr>
            <w:tcW w:w="962" w:type="dxa"/>
            <w:gridSpan w:val="2"/>
            <w:shd w:val="clear" w:color="auto" w:fill="auto"/>
            <w:noWrap/>
            <w:tcMar>
              <w:top w:w="15" w:type="dxa"/>
              <w:left w:w="15" w:type="dxa"/>
              <w:right w:w="15" w:type="dxa"/>
            </w:tcMar>
            <w:vAlign w:val="center"/>
          </w:tcPr>
          <w:p w14:paraId="6F3D0C6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6359.05</w:t>
            </w:r>
          </w:p>
        </w:tc>
        <w:tc>
          <w:tcPr>
            <w:tcW w:w="955" w:type="dxa"/>
            <w:gridSpan w:val="3"/>
            <w:shd w:val="clear" w:color="auto" w:fill="auto"/>
            <w:noWrap/>
            <w:tcMar>
              <w:top w:w="15" w:type="dxa"/>
              <w:left w:w="15" w:type="dxa"/>
              <w:right w:w="15" w:type="dxa"/>
            </w:tcMar>
            <w:vAlign w:val="center"/>
          </w:tcPr>
          <w:p w14:paraId="5DD0AC37">
            <w:pPr>
              <w:widowControl/>
              <w:jc w:val="center"/>
              <w:textAlignment w:val="center"/>
              <w:rPr>
                <w:rFonts w:hint="eastAsia" w:ascii="Times New Roman" w:hAnsi="Times New Roman" w:eastAsia="宋体" w:cs="Times New Roman"/>
                <w:sz w:val="20"/>
                <w:szCs w:val="20"/>
              </w:rPr>
            </w:pPr>
          </w:p>
        </w:tc>
      </w:tr>
      <w:tr w14:paraId="4AB15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0DFB0A35">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（1）</w:t>
            </w:r>
          </w:p>
        </w:tc>
        <w:tc>
          <w:tcPr>
            <w:tcW w:w="3246" w:type="dxa"/>
            <w:shd w:val="clear" w:color="auto" w:fill="auto"/>
            <w:noWrap/>
            <w:tcMar>
              <w:top w:w="15" w:type="dxa"/>
              <w:left w:w="15" w:type="dxa"/>
              <w:right w:w="15" w:type="dxa"/>
            </w:tcMar>
            <w:vAlign w:val="center"/>
          </w:tcPr>
          <w:p w14:paraId="7B5E4280">
            <w:pPr>
              <w:widowControl/>
              <w:jc w:val="center"/>
              <w:textAlignment w:val="center"/>
              <w:rPr>
                <w:rFonts w:ascii="Times New Roman" w:hAnsi="Times New Roman" w:eastAsia="宋体" w:cs="Times New Roman"/>
                <w:sz w:val="20"/>
                <w:szCs w:val="20"/>
              </w:rPr>
            </w:pPr>
            <w:r>
              <w:rPr>
                <w:rStyle w:val="53"/>
                <w:rFonts w:hint="default"/>
                <w:color w:val="auto"/>
              </w:rPr>
              <w:t>项目前期咨询费</w:t>
            </w:r>
          </w:p>
        </w:tc>
        <w:tc>
          <w:tcPr>
            <w:tcW w:w="3926" w:type="dxa"/>
            <w:gridSpan w:val="4"/>
            <w:shd w:val="clear" w:color="auto" w:fill="auto"/>
            <w:noWrap/>
            <w:tcMar>
              <w:top w:w="15" w:type="dxa"/>
              <w:left w:w="15" w:type="dxa"/>
              <w:right w:w="15" w:type="dxa"/>
            </w:tcMar>
            <w:vAlign w:val="center"/>
          </w:tcPr>
          <w:p w14:paraId="4E1011D5">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1.5%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4285CB2A">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2559.63</w:t>
            </w:r>
          </w:p>
        </w:tc>
        <w:tc>
          <w:tcPr>
            <w:tcW w:w="992" w:type="dxa"/>
            <w:gridSpan w:val="2"/>
            <w:shd w:val="clear" w:color="auto" w:fill="auto"/>
            <w:noWrap/>
            <w:tcMar>
              <w:top w:w="15" w:type="dxa"/>
              <w:left w:w="15" w:type="dxa"/>
              <w:right w:w="15" w:type="dxa"/>
            </w:tcMar>
            <w:vAlign w:val="center"/>
          </w:tcPr>
          <w:p w14:paraId="4E030AEA">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6D637BA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1410.40</w:t>
            </w:r>
          </w:p>
        </w:tc>
        <w:tc>
          <w:tcPr>
            <w:tcW w:w="911" w:type="dxa"/>
            <w:shd w:val="clear" w:color="auto" w:fill="auto"/>
            <w:noWrap/>
            <w:tcMar>
              <w:top w:w="15" w:type="dxa"/>
              <w:left w:w="15" w:type="dxa"/>
              <w:right w:w="15" w:type="dxa"/>
            </w:tcMar>
            <w:vAlign w:val="center"/>
          </w:tcPr>
          <w:p w14:paraId="52BD07A4">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33010E5F">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1149.23</w:t>
            </w:r>
          </w:p>
        </w:tc>
        <w:tc>
          <w:tcPr>
            <w:tcW w:w="955" w:type="dxa"/>
            <w:gridSpan w:val="3"/>
            <w:shd w:val="clear" w:color="auto" w:fill="auto"/>
            <w:noWrap/>
            <w:tcMar>
              <w:top w:w="15" w:type="dxa"/>
              <w:left w:w="15" w:type="dxa"/>
              <w:right w:w="15" w:type="dxa"/>
            </w:tcMar>
            <w:vAlign w:val="center"/>
          </w:tcPr>
          <w:p w14:paraId="6B5B8B22">
            <w:pPr>
              <w:widowControl/>
              <w:jc w:val="center"/>
              <w:textAlignment w:val="center"/>
              <w:rPr>
                <w:rFonts w:hint="eastAsia" w:ascii="Times New Roman" w:hAnsi="Times New Roman" w:eastAsia="宋体" w:cs="Times New Roman"/>
                <w:sz w:val="20"/>
                <w:szCs w:val="20"/>
              </w:rPr>
            </w:pPr>
          </w:p>
        </w:tc>
      </w:tr>
      <w:tr w14:paraId="598A2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728B3BB2">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（2）</w:t>
            </w:r>
          </w:p>
        </w:tc>
        <w:tc>
          <w:tcPr>
            <w:tcW w:w="3246" w:type="dxa"/>
            <w:shd w:val="clear" w:color="auto" w:fill="auto"/>
            <w:noWrap/>
            <w:tcMar>
              <w:top w:w="15" w:type="dxa"/>
              <w:left w:w="15" w:type="dxa"/>
              <w:right w:w="15" w:type="dxa"/>
            </w:tcMar>
            <w:vAlign w:val="center"/>
          </w:tcPr>
          <w:p w14:paraId="7522AC97">
            <w:pPr>
              <w:widowControl/>
              <w:jc w:val="center"/>
              <w:textAlignment w:val="center"/>
              <w:rPr>
                <w:rFonts w:ascii="Times New Roman" w:hAnsi="Times New Roman" w:eastAsia="宋体" w:cs="Times New Roman"/>
                <w:sz w:val="20"/>
                <w:szCs w:val="20"/>
              </w:rPr>
            </w:pPr>
            <w:r>
              <w:rPr>
                <w:rStyle w:val="53"/>
                <w:rFonts w:hint="default"/>
                <w:color w:val="auto"/>
              </w:rPr>
              <w:t>建设单位管理费</w:t>
            </w:r>
          </w:p>
        </w:tc>
        <w:tc>
          <w:tcPr>
            <w:tcW w:w="3926" w:type="dxa"/>
            <w:gridSpan w:val="4"/>
            <w:shd w:val="clear" w:color="auto" w:fill="auto"/>
            <w:noWrap/>
            <w:tcMar>
              <w:top w:w="15" w:type="dxa"/>
              <w:left w:w="15" w:type="dxa"/>
              <w:right w:w="15" w:type="dxa"/>
            </w:tcMar>
            <w:vAlign w:val="center"/>
          </w:tcPr>
          <w:p w14:paraId="43F499FB">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0.8%</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551E9C1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1365.13</w:t>
            </w:r>
          </w:p>
        </w:tc>
        <w:tc>
          <w:tcPr>
            <w:tcW w:w="992" w:type="dxa"/>
            <w:gridSpan w:val="2"/>
            <w:shd w:val="clear" w:color="auto" w:fill="auto"/>
            <w:noWrap/>
            <w:tcMar>
              <w:top w:w="15" w:type="dxa"/>
              <w:left w:w="15" w:type="dxa"/>
              <w:right w:w="15" w:type="dxa"/>
            </w:tcMar>
            <w:vAlign w:val="center"/>
          </w:tcPr>
          <w:p w14:paraId="32C9E883">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42D0A0DB">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752.21</w:t>
            </w:r>
          </w:p>
        </w:tc>
        <w:tc>
          <w:tcPr>
            <w:tcW w:w="911" w:type="dxa"/>
            <w:shd w:val="clear" w:color="auto" w:fill="auto"/>
            <w:noWrap/>
            <w:tcMar>
              <w:top w:w="15" w:type="dxa"/>
              <w:left w:w="15" w:type="dxa"/>
              <w:right w:w="15" w:type="dxa"/>
            </w:tcMar>
            <w:vAlign w:val="center"/>
          </w:tcPr>
          <w:p w14:paraId="7FB683E3">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313D3312">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612.92</w:t>
            </w:r>
          </w:p>
        </w:tc>
        <w:tc>
          <w:tcPr>
            <w:tcW w:w="955" w:type="dxa"/>
            <w:gridSpan w:val="3"/>
            <w:shd w:val="clear" w:color="auto" w:fill="auto"/>
            <w:noWrap/>
            <w:tcMar>
              <w:top w:w="15" w:type="dxa"/>
              <w:left w:w="15" w:type="dxa"/>
              <w:right w:w="15" w:type="dxa"/>
            </w:tcMar>
            <w:vAlign w:val="center"/>
          </w:tcPr>
          <w:p w14:paraId="4233A147">
            <w:pPr>
              <w:widowControl/>
              <w:jc w:val="center"/>
              <w:textAlignment w:val="center"/>
              <w:rPr>
                <w:rFonts w:hint="eastAsia" w:ascii="Times New Roman" w:hAnsi="Times New Roman" w:eastAsia="宋体" w:cs="Times New Roman"/>
                <w:sz w:val="20"/>
                <w:szCs w:val="20"/>
              </w:rPr>
            </w:pPr>
          </w:p>
        </w:tc>
      </w:tr>
      <w:tr w14:paraId="45848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1638C879">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（3）</w:t>
            </w:r>
          </w:p>
        </w:tc>
        <w:tc>
          <w:tcPr>
            <w:tcW w:w="3246" w:type="dxa"/>
            <w:shd w:val="clear" w:color="auto" w:fill="auto"/>
            <w:noWrap/>
            <w:tcMar>
              <w:top w:w="15" w:type="dxa"/>
              <w:left w:w="15" w:type="dxa"/>
              <w:right w:w="15" w:type="dxa"/>
            </w:tcMar>
            <w:vAlign w:val="center"/>
          </w:tcPr>
          <w:p w14:paraId="2D063C61">
            <w:pPr>
              <w:widowControl/>
              <w:jc w:val="center"/>
              <w:textAlignment w:val="center"/>
              <w:rPr>
                <w:rFonts w:ascii="Times New Roman" w:hAnsi="Times New Roman" w:eastAsia="宋体" w:cs="Times New Roman"/>
                <w:sz w:val="20"/>
                <w:szCs w:val="20"/>
              </w:rPr>
            </w:pPr>
            <w:r>
              <w:rPr>
                <w:rStyle w:val="53"/>
                <w:rFonts w:hint="default"/>
                <w:color w:val="auto"/>
              </w:rPr>
              <w:t>勘察设计费</w:t>
            </w:r>
          </w:p>
        </w:tc>
        <w:tc>
          <w:tcPr>
            <w:tcW w:w="3926" w:type="dxa"/>
            <w:gridSpan w:val="4"/>
            <w:shd w:val="clear" w:color="auto" w:fill="auto"/>
            <w:noWrap/>
            <w:tcMar>
              <w:top w:w="15" w:type="dxa"/>
              <w:left w:w="15" w:type="dxa"/>
              <w:right w:w="15" w:type="dxa"/>
            </w:tcMar>
            <w:vAlign w:val="center"/>
          </w:tcPr>
          <w:p w14:paraId="5B6B185C">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3.5%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5B027797">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5972.46</w:t>
            </w:r>
          </w:p>
        </w:tc>
        <w:tc>
          <w:tcPr>
            <w:tcW w:w="992" w:type="dxa"/>
            <w:gridSpan w:val="2"/>
            <w:shd w:val="clear" w:color="auto" w:fill="auto"/>
            <w:noWrap/>
            <w:tcMar>
              <w:top w:w="15" w:type="dxa"/>
              <w:left w:w="15" w:type="dxa"/>
              <w:right w:w="15" w:type="dxa"/>
            </w:tcMar>
            <w:vAlign w:val="center"/>
          </w:tcPr>
          <w:p w14:paraId="3A1058CC">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61CED900">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3290.94</w:t>
            </w:r>
          </w:p>
        </w:tc>
        <w:tc>
          <w:tcPr>
            <w:tcW w:w="911" w:type="dxa"/>
            <w:shd w:val="clear" w:color="auto" w:fill="auto"/>
            <w:noWrap/>
            <w:tcMar>
              <w:top w:w="15" w:type="dxa"/>
              <w:left w:w="15" w:type="dxa"/>
              <w:right w:w="15" w:type="dxa"/>
            </w:tcMar>
            <w:vAlign w:val="center"/>
          </w:tcPr>
          <w:p w14:paraId="2BDDE03F">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4E1EE2B8">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2681.53</w:t>
            </w:r>
          </w:p>
        </w:tc>
        <w:tc>
          <w:tcPr>
            <w:tcW w:w="955" w:type="dxa"/>
            <w:gridSpan w:val="3"/>
            <w:shd w:val="clear" w:color="auto" w:fill="auto"/>
            <w:noWrap/>
            <w:tcMar>
              <w:top w:w="15" w:type="dxa"/>
              <w:left w:w="15" w:type="dxa"/>
              <w:right w:w="15" w:type="dxa"/>
            </w:tcMar>
            <w:vAlign w:val="center"/>
          </w:tcPr>
          <w:p w14:paraId="0F936134">
            <w:pPr>
              <w:widowControl/>
              <w:jc w:val="center"/>
              <w:textAlignment w:val="center"/>
              <w:rPr>
                <w:rFonts w:hint="eastAsia" w:ascii="Times New Roman" w:hAnsi="Times New Roman" w:eastAsia="宋体" w:cs="Times New Roman"/>
                <w:sz w:val="20"/>
                <w:szCs w:val="20"/>
              </w:rPr>
            </w:pPr>
          </w:p>
        </w:tc>
      </w:tr>
      <w:tr w14:paraId="61413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69911E53">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（4）</w:t>
            </w:r>
          </w:p>
        </w:tc>
        <w:tc>
          <w:tcPr>
            <w:tcW w:w="3246" w:type="dxa"/>
            <w:shd w:val="clear" w:color="auto" w:fill="auto"/>
            <w:noWrap/>
            <w:tcMar>
              <w:top w:w="15" w:type="dxa"/>
              <w:left w:w="15" w:type="dxa"/>
              <w:right w:w="15" w:type="dxa"/>
            </w:tcMar>
            <w:vAlign w:val="center"/>
          </w:tcPr>
          <w:p w14:paraId="3353C1A9">
            <w:pPr>
              <w:widowControl/>
              <w:jc w:val="center"/>
              <w:textAlignment w:val="center"/>
              <w:rPr>
                <w:rFonts w:ascii="Times New Roman" w:hAnsi="Times New Roman" w:eastAsia="宋体" w:cs="Times New Roman"/>
                <w:sz w:val="20"/>
                <w:szCs w:val="20"/>
              </w:rPr>
            </w:pPr>
            <w:r>
              <w:rPr>
                <w:rStyle w:val="53"/>
                <w:rFonts w:hint="default"/>
                <w:color w:val="auto"/>
              </w:rPr>
              <w:t>工程监理费</w:t>
            </w:r>
          </w:p>
        </w:tc>
        <w:tc>
          <w:tcPr>
            <w:tcW w:w="3926" w:type="dxa"/>
            <w:gridSpan w:val="4"/>
            <w:shd w:val="clear" w:color="auto" w:fill="auto"/>
            <w:noWrap/>
            <w:tcMar>
              <w:top w:w="15" w:type="dxa"/>
              <w:left w:w="15" w:type="dxa"/>
              <w:right w:w="15" w:type="dxa"/>
            </w:tcMar>
            <w:vAlign w:val="center"/>
          </w:tcPr>
          <w:p w14:paraId="410F5D52">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1.5%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7DEB4B0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2559.63</w:t>
            </w:r>
          </w:p>
        </w:tc>
        <w:tc>
          <w:tcPr>
            <w:tcW w:w="992" w:type="dxa"/>
            <w:gridSpan w:val="2"/>
            <w:shd w:val="clear" w:color="auto" w:fill="auto"/>
            <w:noWrap/>
            <w:tcMar>
              <w:top w:w="15" w:type="dxa"/>
              <w:left w:w="15" w:type="dxa"/>
              <w:right w:w="15" w:type="dxa"/>
            </w:tcMar>
            <w:vAlign w:val="center"/>
          </w:tcPr>
          <w:p w14:paraId="0A881C2E">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4B3BFF0B">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1410.40</w:t>
            </w:r>
          </w:p>
        </w:tc>
        <w:tc>
          <w:tcPr>
            <w:tcW w:w="911" w:type="dxa"/>
            <w:shd w:val="clear" w:color="auto" w:fill="auto"/>
            <w:noWrap/>
            <w:tcMar>
              <w:top w:w="15" w:type="dxa"/>
              <w:left w:w="15" w:type="dxa"/>
              <w:right w:w="15" w:type="dxa"/>
            </w:tcMar>
            <w:vAlign w:val="center"/>
          </w:tcPr>
          <w:p w14:paraId="56CD961F">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6DF1A17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1149.23</w:t>
            </w:r>
          </w:p>
        </w:tc>
        <w:tc>
          <w:tcPr>
            <w:tcW w:w="955" w:type="dxa"/>
            <w:gridSpan w:val="3"/>
            <w:shd w:val="clear" w:color="auto" w:fill="auto"/>
            <w:noWrap/>
            <w:tcMar>
              <w:top w:w="15" w:type="dxa"/>
              <w:left w:w="15" w:type="dxa"/>
              <w:right w:w="15" w:type="dxa"/>
            </w:tcMar>
            <w:vAlign w:val="center"/>
          </w:tcPr>
          <w:p w14:paraId="6C7A7F83">
            <w:pPr>
              <w:widowControl/>
              <w:jc w:val="center"/>
              <w:textAlignment w:val="center"/>
              <w:rPr>
                <w:rFonts w:hint="eastAsia" w:ascii="Times New Roman" w:hAnsi="Times New Roman" w:eastAsia="宋体" w:cs="Times New Roman"/>
                <w:sz w:val="20"/>
                <w:szCs w:val="20"/>
              </w:rPr>
            </w:pPr>
          </w:p>
        </w:tc>
      </w:tr>
      <w:tr w14:paraId="4D13D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0B2AA981">
            <w:pPr>
              <w:widowControl/>
              <w:jc w:val="center"/>
              <w:textAlignment w:val="center"/>
              <w:rPr>
                <w:rFonts w:ascii="Times New Roman" w:hAnsi="Times New Roman" w:eastAsia="宋体" w:cs="Times New Roman"/>
                <w:sz w:val="20"/>
                <w:szCs w:val="20"/>
              </w:rPr>
            </w:pPr>
            <w:r>
              <w:rPr>
                <w:rFonts w:hint="eastAsia" w:ascii="Times New Roman" w:hAnsi="Times New Roman" w:eastAsia="宋体" w:cs="Times New Roman"/>
                <w:kern w:val="0"/>
                <w:sz w:val="20"/>
                <w:szCs w:val="20"/>
              </w:rPr>
              <w:t>（5）</w:t>
            </w:r>
          </w:p>
        </w:tc>
        <w:tc>
          <w:tcPr>
            <w:tcW w:w="3246" w:type="dxa"/>
            <w:shd w:val="clear" w:color="auto" w:fill="auto"/>
            <w:noWrap/>
            <w:tcMar>
              <w:top w:w="15" w:type="dxa"/>
              <w:left w:w="15" w:type="dxa"/>
              <w:right w:w="15" w:type="dxa"/>
            </w:tcMar>
            <w:vAlign w:val="center"/>
          </w:tcPr>
          <w:p w14:paraId="29A0A35A">
            <w:pPr>
              <w:widowControl/>
              <w:jc w:val="center"/>
              <w:textAlignment w:val="center"/>
              <w:rPr>
                <w:rFonts w:ascii="Times New Roman" w:hAnsi="Times New Roman" w:eastAsia="宋体" w:cs="Times New Roman"/>
                <w:sz w:val="20"/>
                <w:szCs w:val="20"/>
              </w:rPr>
            </w:pPr>
            <w:r>
              <w:rPr>
                <w:rStyle w:val="53"/>
                <w:rFonts w:hint="default"/>
                <w:color w:val="auto"/>
              </w:rPr>
              <w:t>招标费</w:t>
            </w:r>
          </w:p>
        </w:tc>
        <w:tc>
          <w:tcPr>
            <w:tcW w:w="3926" w:type="dxa"/>
            <w:gridSpan w:val="4"/>
            <w:shd w:val="clear" w:color="auto" w:fill="auto"/>
            <w:noWrap/>
            <w:tcMar>
              <w:top w:w="15" w:type="dxa"/>
              <w:left w:w="15" w:type="dxa"/>
              <w:right w:w="15" w:type="dxa"/>
            </w:tcMar>
            <w:vAlign w:val="center"/>
          </w:tcPr>
          <w:p w14:paraId="4B7CD117">
            <w:pPr>
              <w:jc w:val="center"/>
              <w:rPr>
                <w:rFonts w:ascii="Times New Roman" w:hAnsi="Times New Roman" w:eastAsia="宋体" w:cs="Times New Roman"/>
                <w:sz w:val="20"/>
                <w:szCs w:val="20"/>
              </w:rPr>
            </w:pPr>
            <w:r>
              <w:rPr>
                <w:rStyle w:val="53"/>
                <w:rFonts w:hint="default"/>
                <w:color w:val="auto"/>
              </w:rPr>
              <w:t>按工程费用的</w:t>
            </w:r>
            <w:r>
              <w:rPr>
                <w:rStyle w:val="54"/>
                <w:rFonts w:eastAsia="宋体"/>
                <w:color w:val="auto"/>
              </w:rPr>
              <w:t>1.0%</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351CB16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1706.42</w:t>
            </w:r>
          </w:p>
        </w:tc>
        <w:tc>
          <w:tcPr>
            <w:tcW w:w="992" w:type="dxa"/>
            <w:gridSpan w:val="2"/>
            <w:shd w:val="clear" w:color="auto" w:fill="auto"/>
            <w:noWrap/>
            <w:tcMar>
              <w:top w:w="15" w:type="dxa"/>
              <w:left w:w="15" w:type="dxa"/>
              <w:right w:w="15" w:type="dxa"/>
            </w:tcMar>
            <w:vAlign w:val="center"/>
          </w:tcPr>
          <w:p w14:paraId="43B5D516">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7B0EEB09">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940.27</w:t>
            </w:r>
          </w:p>
        </w:tc>
        <w:tc>
          <w:tcPr>
            <w:tcW w:w="911" w:type="dxa"/>
            <w:shd w:val="clear" w:color="auto" w:fill="auto"/>
            <w:noWrap/>
            <w:tcMar>
              <w:top w:w="15" w:type="dxa"/>
              <w:left w:w="15" w:type="dxa"/>
              <w:right w:w="15" w:type="dxa"/>
            </w:tcMar>
            <w:vAlign w:val="center"/>
          </w:tcPr>
          <w:p w14:paraId="1F7EF7CC">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270886EA">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766.15</w:t>
            </w:r>
          </w:p>
        </w:tc>
        <w:tc>
          <w:tcPr>
            <w:tcW w:w="955" w:type="dxa"/>
            <w:gridSpan w:val="3"/>
            <w:shd w:val="clear" w:color="auto" w:fill="auto"/>
            <w:noWrap/>
            <w:tcMar>
              <w:top w:w="15" w:type="dxa"/>
              <w:left w:w="15" w:type="dxa"/>
              <w:right w:w="15" w:type="dxa"/>
            </w:tcMar>
            <w:vAlign w:val="center"/>
          </w:tcPr>
          <w:p w14:paraId="016B638F">
            <w:pPr>
              <w:widowControl/>
              <w:jc w:val="center"/>
              <w:textAlignment w:val="center"/>
              <w:rPr>
                <w:rFonts w:hint="eastAsia" w:ascii="Times New Roman" w:hAnsi="Times New Roman" w:eastAsia="宋体" w:cs="Times New Roman"/>
                <w:sz w:val="20"/>
                <w:szCs w:val="20"/>
              </w:rPr>
            </w:pPr>
          </w:p>
        </w:tc>
      </w:tr>
      <w:tr w14:paraId="50544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697" w:type="dxa"/>
            <w:shd w:val="clear" w:color="auto" w:fill="auto"/>
            <w:noWrap/>
            <w:tcMar>
              <w:top w:w="15" w:type="dxa"/>
              <w:left w:w="15" w:type="dxa"/>
              <w:right w:w="15" w:type="dxa"/>
            </w:tcMar>
            <w:vAlign w:val="center"/>
          </w:tcPr>
          <w:p w14:paraId="7B6D23B5">
            <w:pPr>
              <w:widowControl/>
              <w:jc w:val="center"/>
              <w:textAlignment w:val="center"/>
              <w:rPr>
                <w:rFonts w:ascii="Times New Roman" w:hAnsi="Times New Roman" w:eastAsia="宋体" w:cs="Times New Roman"/>
                <w:b/>
                <w:sz w:val="20"/>
                <w:szCs w:val="20"/>
              </w:rPr>
            </w:pPr>
            <w:r>
              <w:rPr>
                <w:rStyle w:val="53"/>
                <w:rFonts w:hint="default"/>
                <w:b/>
                <w:color w:val="auto"/>
              </w:rPr>
              <w:t>三</w:t>
            </w:r>
          </w:p>
        </w:tc>
        <w:tc>
          <w:tcPr>
            <w:tcW w:w="3246" w:type="dxa"/>
            <w:shd w:val="clear" w:color="auto" w:fill="auto"/>
            <w:noWrap/>
            <w:tcMar>
              <w:top w:w="15" w:type="dxa"/>
              <w:left w:w="15" w:type="dxa"/>
              <w:right w:w="15" w:type="dxa"/>
            </w:tcMar>
            <w:vAlign w:val="center"/>
          </w:tcPr>
          <w:p w14:paraId="4B43120B">
            <w:pPr>
              <w:widowControl/>
              <w:jc w:val="center"/>
              <w:textAlignment w:val="center"/>
              <w:rPr>
                <w:rFonts w:ascii="Times New Roman" w:hAnsi="Times New Roman" w:eastAsia="宋体" w:cs="Times New Roman"/>
                <w:b/>
                <w:sz w:val="20"/>
                <w:szCs w:val="20"/>
              </w:rPr>
            </w:pPr>
            <w:r>
              <w:rPr>
                <w:rStyle w:val="53"/>
                <w:rFonts w:hint="default"/>
                <w:b/>
                <w:color w:val="auto"/>
              </w:rPr>
              <w:t>基本预备费</w:t>
            </w:r>
          </w:p>
        </w:tc>
        <w:tc>
          <w:tcPr>
            <w:tcW w:w="3926" w:type="dxa"/>
            <w:gridSpan w:val="4"/>
            <w:shd w:val="clear" w:color="auto" w:fill="auto"/>
            <w:noWrap/>
            <w:tcMar>
              <w:top w:w="15" w:type="dxa"/>
              <w:left w:w="15" w:type="dxa"/>
              <w:right w:w="15" w:type="dxa"/>
            </w:tcMar>
            <w:vAlign w:val="center"/>
          </w:tcPr>
          <w:p w14:paraId="721986A6">
            <w:pPr>
              <w:jc w:val="center"/>
              <w:rPr>
                <w:rFonts w:ascii="Times New Roman" w:hAnsi="Times New Roman" w:eastAsia="宋体" w:cs="Times New Roman"/>
                <w:sz w:val="20"/>
                <w:szCs w:val="20"/>
              </w:rPr>
            </w:pPr>
            <w:r>
              <w:rPr>
                <w:rStyle w:val="53"/>
                <w:rFonts w:hint="default"/>
                <w:color w:val="auto"/>
              </w:rPr>
              <w:t>按工程建设费用和工程建设其他费用之和的</w:t>
            </w:r>
            <w:r>
              <w:rPr>
                <w:rStyle w:val="54"/>
                <w:rFonts w:eastAsia="宋体"/>
                <w:color w:val="auto"/>
              </w:rPr>
              <w:t>5%</w:t>
            </w:r>
            <w:r>
              <w:rPr>
                <w:rStyle w:val="53"/>
                <w:rFonts w:hint="default"/>
                <w:color w:val="auto"/>
              </w:rPr>
              <w:t>计算</w:t>
            </w:r>
          </w:p>
        </w:tc>
        <w:tc>
          <w:tcPr>
            <w:tcW w:w="1152" w:type="dxa"/>
            <w:gridSpan w:val="2"/>
            <w:shd w:val="clear" w:color="auto" w:fill="auto"/>
            <w:noWrap/>
            <w:tcMar>
              <w:top w:w="15" w:type="dxa"/>
              <w:left w:w="15" w:type="dxa"/>
              <w:right w:w="15" w:type="dxa"/>
            </w:tcMar>
            <w:vAlign w:val="center"/>
          </w:tcPr>
          <w:p w14:paraId="6DCE1D5C">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9240.25</w:t>
            </w:r>
          </w:p>
        </w:tc>
        <w:tc>
          <w:tcPr>
            <w:tcW w:w="992" w:type="dxa"/>
            <w:gridSpan w:val="2"/>
            <w:shd w:val="clear" w:color="auto" w:fill="auto"/>
            <w:noWrap/>
            <w:tcMar>
              <w:top w:w="15" w:type="dxa"/>
              <w:left w:w="15" w:type="dxa"/>
              <w:right w:w="15" w:type="dxa"/>
            </w:tcMar>
            <w:vAlign w:val="center"/>
          </w:tcPr>
          <w:p w14:paraId="5A55BD81">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47D5B39B">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5091.55</w:t>
            </w:r>
          </w:p>
        </w:tc>
        <w:tc>
          <w:tcPr>
            <w:tcW w:w="911" w:type="dxa"/>
            <w:shd w:val="clear" w:color="auto" w:fill="auto"/>
            <w:noWrap/>
            <w:tcMar>
              <w:top w:w="15" w:type="dxa"/>
              <w:left w:w="15" w:type="dxa"/>
              <w:right w:w="15" w:type="dxa"/>
            </w:tcMar>
            <w:vAlign w:val="center"/>
          </w:tcPr>
          <w:p w14:paraId="543CBFCB">
            <w:pPr>
              <w:jc w:val="center"/>
              <w:rPr>
                <w:rFonts w:ascii="Times New Roman" w:hAnsi="Times New Roman" w:eastAsia="宋体" w:cs="Times New Roman"/>
                <w:color w:val="0000FF"/>
                <w:sz w:val="20"/>
                <w:szCs w:val="20"/>
              </w:rPr>
            </w:pPr>
          </w:p>
        </w:tc>
        <w:tc>
          <w:tcPr>
            <w:tcW w:w="963" w:type="dxa"/>
            <w:gridSpan w:val="3"/>
            <w:shd w:val="clear" w:color="auto" w:fill="auto"/>
            <w:noWrap/>
            <w:tcMar>
              <w:top w:w="15" w:type="dxa"/>
              <w:left w:w="15" w:type="dxa"/>
              <w:right w:w="15" w:type="dxa"/>
            </w:tcMar>
            <w:vAlign w:val="center"/>
          </w:tcPr>
          <w:p w14:paraId="1A2DE084">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4148.70</w:t>
            </w:r>
          </w:p>
        </w:tc>
        <w:tc>
          <w:tcPr>
            <w:tcW w:w="955" w:type="dxa"/>
            <w:gridSpan w:val="3"/>
            <w:shd w:val="clear" w:color="auto" w:fill="auto"/>
            <w:noWrap/>
            <w:tcMar>
              <w:top w:w="15" w:type="dxa"/>
              <w:left w:w="15" w:type="dxa"/>
              <w:right w:w="15" w:type="dxa"/>
            </w:tcMar>
            <w:vAlign w:val="center"/>
          </w:tcPr>
          <w:p w14:paraId="6388EF50">
            <w:pPr>
              <w:widowControl/>
              <w:jc w:val="center"/>
              <w:textAlignment w:val="center"/>
              <w:rPr>
                <w:rFonts w:hint="eastAsia" w:ascii="Times New Roman" w:hAnsi="Times New Roman" w:eastAsia="宋体" w:cs="Times New Roman"/>
                <w:sz w:val="20"/>
                <w:szCs w:val="20"/>
              </w:rPr>
            </w:pPr>
          </w:p>
        </w:tc>
      </w:tr>
      <w:tr w14:paraId="6ADC0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 w:type="dxa"/>
          <w:trHeight w:val="270" w:hRule="atLeast"/>
        </w:trPr>
        <w:tc>
          <w:tcPr>
            <w:tcW w:w="7868" w:type="dxa"/>
            <w:gridSpan w:val="5"/>
            <w:shd w:val="clear" w:color="auto" w:fill="auto"/>
            <w:noWrap/>
            <w:tcMar>
              <w:top w:w="15" w:type="dxa"/>
              <w:left w:w="15" w:type="dxa"/>
              <w:right w:w="15" w:type="dxa"/>
            </w:tcMar>
            <w:vAlign w:val="center"/>
          </w:tcPr>
          <w:p w14:paraId="0CE3D304">
            <w:pPr>
              <w:jc w:val="center"/>
              <w:rPr>
                <w:rFonts w:ascii="Times New Roman" w:hAnsi="Times New Roman" w:eastAsia="宋体" w:cs="Times New Roman"/>
                <w:b/>
                <w:sz w:val="20"/>
                <w:szCs w:val="20"/>
              </w:rPr>
            </w:pPr>
            <w:r>
              <w:rPr>
                <w:rStyle w:val="53"/>
                <w:rFonts w:hint="default"/>
                <w:b/>
                <w:color w:val="auto"/>
              </w:rPr>
              <w:t>合计</w:t>
            </w:r>
          </w:p>
        </w:tc>
        <w:tc>
          <w:tcPr>
            <w:tcW w:w="1152" w:type="dxa"/>
            <w:gridSpan w:val="2"/>
            <w:shd w:val="clear" w:color="auto" w:fill="auto"/>
            <w:noWrap/>
            <w:tcMar>
              <w:top w:w="15" w:type="dxa"/>
              <w:left w:w="15" w:type="dxa"/>
              <w:right w:w="15" w:type="dxa"/>
            </w:tcMar>
            <w:vAlign w:val="center"/>
          </w:tcPr>
          <w:p w14:paraId="1500760D">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194045.27</w:t>
            </w:r>
          </w:p>
        </w:tc>
        <w:tc>
          <w:tcPr>
            <w:tcW w:w="992" w:type="dxa"/>
            <w:gridSpan w:val="2"/>
            <w:shd w:val="clear" w:color="auto" w:fill="auto"/>
            <w:noWrap/>
            <w:tcMar>
              <w:top w:w="15" w:type="dxa"/>
              <w:left w:w="15" w:type="dxa"/>
              <w:right w:w="15" w:type="dxa"/>
            </w:tcMar>
            <w:vAlign w:val="center"/>
          </w:tcPr>
          <w:p w14:paraId="04ED77F9">
            <w:pPr>
              <w:jc w:val="center"/>
              <w:rPr>
                <w:rFonts w:ascii="Times New Roman" w:hAnsi="Times New Roman" w:eastAsia="宋体" w:cs="Times New Roman"/>
                <w:color w:val="0000FF"/>
                <w:sz w:val="20"/>
                <w:szCs w:val="20"/>
              </w:rPr>
            </w:pPr>
          </w:p>
        </w:tc>
        <w:tc>
          <w:tcPr>
            <w:tcW w:w="1214" w:type="dxa"/>
            <w:gridSpan w:val="3"/>
            <w:shd w:val="clear" w:color="auto" w:fill="auto"/>
            <w:noWrap/>
            <w:tcMar>
              <w:top w:w="15" w:type="dxa"/>
              <w:left w:w="15" w:type="dxa"/>
              <w:right w:w="15" w:type="dxa"/>
            </w:tcMar>
            <w:vAlign w:val="center"/>
          </w:tcPr>
          <w:p w14:paraId="706E1AEF">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106922.52</w:t>
            </w:r>
          </w:p>
        </w:tc>
        <w:tc>
          <w:tcPr>
            <w:tcW w:w="912" w:type="dxa"/>
            <w:gridSpan w:val="2"/>
            <w:shd w:val="clear" w:color="auto" w:fill="auto"/>
            <w:noWrap/>
            <w:tcMar>
              <w:top w:w="15" w:type="dxa"/>
              <w:left w:w="15" w:type="dxa"/>
              <w:right w:w="15" w:type="dxa"/>
            </w:tcMar>
            <w:vAlign w:val="center"/>
          </w:tcPr>
          <w:p w14:paraId="0545F208">
            <w:pPr>
              <w:jc w:val="center"/>
              <w:rPr>
                <w:rFonts w:ascii="Times New Roman" w:hAnsi="Times New Roman" w:eastAsia="宋体" w:cs="Times New Roman"/>
                <w:color w:val="0000FF"/>
                <w:sz w:val="20"/>
                <w:szCs w:val="20"/>
              </w:rPr>
            </w:pPr>
          </w:p>
        </w:tc>
        <w:tc>
          <w:tcPr>
            <w:tcW w:w="962" w:type="dxa"/>
            <w:gridSpan w:val="2"/>
            <w:shd w:val="clear" w:color="auto" w:fill="auto"/>
            <w:noWrap/>
            <w:tcMar>
              <w:top w:w="15" w:type="dxa"/>
              <w:left w:w="15" w:type="dxa"/>
              <w:right w:w="15" w:type="dxa"/>
            </w:tcMar>
            <w:vAlign w:val="center"/>
          </w:tcPr>
          <w:p w14:paraId="5540313A">
            <w:pPr>
              <w:widowControl/>
              <w:jc w:val="center"/>
              <w:textAlignment w:val="center"/>
              <w:rPr>
                <w:rFonts w:hint="default" w:ascii="Times New Roman" w:hAnsi="Times New Roman" w:eastAsia="宋体" w:cs="Times New Roman"/>
                <w:color w:val="0000FF"/>
                <w:sz w:val="20"/>
                <w:szCs w:val="20"/>
                <w:lang w:val="en-US" w:eastAsia="zh-CN"/>
              </w:rPr>
            </w:pPr>
            <w:r>
              <w:rPr>
                <w:rFonts w:hint="eastAsia" w:ascii="Times New Roman" w:hAnsi="Times New Roman" w:eastAsia="宋体" w:cs="Times New Roman"/>
                <w:color w:val="0000FF"/>
                <w:sz w:val="20"/>
                <w:szCs w:val="20"/>
                <w:lang w:val="en-US" w:eastAsia="zh-CN"/>
              </w:rPr>
              <w:t>87122.75</w:t>
            </w:r>
          </w:p>
        </w:tc>
        <w:tc>
          <w:tcPr>
            <w:tcW w:w="955" w:type="dxa"/>
            <w:gridSpan w:val="3"/>
            <w:shd w:val="clear" w:color="auto" w:fill="auto"/>
            <w:noWrap/>
            <w:tcMar>
              <w:top w:w="15" w:type="dxa"/>
              <w:left w:w="15" w:type="dxa"/>
              <w:right w:w="15" w:type="dxa"/>
            </w:tcMar>
            <w:vAlign w:val="center"/>
          </w:tcPr>
          <w:p w14:paraId="1EFFB355">
            <w:pPr>
              <w:widowControl/>
              <w:jc w:val="center"/>
              <w:textAlignment w:val="center"/>
              <w:rPr>
                <w:rFonts w:hint="eastAsia" w:ascii="Times New Roman" w:hAnsi="Times New Roman" w:eastAsia="宋体" w:cs="Times New Roman"/>
                <w:sz w:val="20"/>
                <w:szCs w:val="20"/>
              </w:rPr>
            </w:pPr>
          </w:p>
        </w:tc>
      </w:tr>
    </w:tbl>
    <w:p w14:paraId="026E73F5">
      <w:pPr>
        <w:spacing w:line="360" w:lineRule="auto"/>
        <w:contextualSpacing/>
        <w:rPr>
          <w:rFonts w:ascii="Times New Roman" w:hAnsi="Times New Roman" w:eastAsia="宋体" w:cs="Times New Roman"/>
          <w:sz w:val="24"/>
          <w:szCs w:val="24"/>
        </w:rPr>
      </w:pPr>
    </w:p>
    <w:p w14:paraId="3BEEA22C">
      <w:pPr>
        <w:spacing w:line="360" w:lineRule="auto"/>
        <w:contextualSpacing/>
        <w:rPr>
          <w:rFonts w:ascii="Times New Roman" w:hAnsi="Times New Roman" w:eastAsia="宋体" w:cs="Times New Roman"/>
          <w:sz w:val="24"/>
          <w:szCs w:val="24"/>
        </w:rPr>
      </w:pPr>
    </w:p>
    <w:p w14:paraId="57C4C5BB">
      <w:pPr>
        <w:spacing w:line="360" w:lineRule="auto"/>
        <w:jc w:val="left"/>
        <w:rPr>
          <w:rFonts w:ascii="Times New Roman" w:hAnsi="Times New Roman" w:cs="Times New Roman"/>
          <w:b/>
          <w:bCs/>
          <w:sz w:val="24"/>
          <w:szCs w:val="24"/>
        </w:rPr>
      </w:pPr>
    </w:p>
    <w:p w14:paraId="4AC1D08A">
      <w:pPr>
        <w:jc w:val="center"/>
        <w:rPr>
          <w:sz w:val="32"/>
          <w:szCs w:val="32"/>
        </w:rPr>
      </w:pPr>
    </w:p>
    <w:sectPr>
      <w:pgSz w:w="16838" w:h="11906" w:orient="landscape"/>
      <w:pgMar w:top="1803" w:right="1440" w:bottom="1803" w:left="1440" w:header="851" w:footer="992" w:gutter="0"/>
      <w:pgNumType w:fmt="decimal"/>
      <w:cols w:space="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Batang">
    <w:panose1 w:val="02030600000101010101"/>
    <w:charset w:val="81"/>
    <w:family w:val="roman"/>
    <w:pitch w:val="default"/>
    <w:sig w:usb0="B00002AF" w:usb1="69D77CFB" w:usb2="00000030" w:usb3="00000000" w:csb0="4008009F" w:csb1="DFD70000"/>
  </w:font>
  <w:font w:name="仿宋">
    <w:panose1 w:val="02010609060101010101"/>
    <w:charset w:val="86"/>
    <w:family w:val="modern"/>
    <w:pitch w:val="default"/>
    <w:sig w:usb0="800002BF" w:usb1="38CF7CFA" w:usb2="00000016" w:usb3="00000000" w:csb0="00040001" w:csb1="00000000"/>
  </w:font>
  <w:font w:name="FZFangSong-Z02S">
    <w:altName w:val="宋体"/>
    <w:panose1 w:val="00000000000000000000"/>
    <w:charset w:val="86"/>
    <w:family w:val="auto"/>
    <w:pitch w:val="default"/>
    <w:sig w:usb0="00000000" w:usb1="00000000" w:usb2="00000010" w:usb3="00000000" w:csb0="00040000" w:csb1="00000000"/>
  </w:font>
  <w:font w:name="Malgun Gothic">
    <w:panose1 w:val="020B0503020000020004"/>
    <w:charset w:val="81"/>
    <w:family w:val="swiss"/>
    <w:pitch w:val="default"/>
    <w:sig w:usb0="900002AF" w:usb1="01D77CFB" w:usb2="00000012" w:usb3="00000000" w:csb0="00080001" w:csb1="00000000"/>
  </w:font>
  <w:font w:name="Segoe UI">
    <w:panose1 w:val="020B0502040204020203"/>
    <w:charset w:val="00"/>
    <w:family w:val="swiss"/>
    <w:pitch w:val="default"/>
    <w:sig w:usb0="E10022FF" w:usb1="C000E47F" w:usb2="00000029" w:usb3="00000000" w:csb0="200001DF" w:csb1="20000000"/>
  </w:font>
  <w:font w:name="方正楷体_GBK">
    <w:panose1 w:val="02000000000000000000"/>
    <w:charset w:val="86"/>
    <w:family w:val="script"/>
    <w:pitch w:val="default"/>
    <w:sig w:usb0="00000001" w:usb1="08000000" w:usb2="00000000" w:usb3="00000000" w:csb0="00040000" w:csb1="00000000"/>
  </w:font>
  <w:font w:name="MS Gothic">
    <w:panose1 w:val="020B0609070205080204"/>
    <w:charset w:val="80"/>
    <w:family w:val="modern"/>
    <w:pitch w:val="default"/>
    <w:sig w:usb0="E00002FF" w:usb1="6AC7FDFB" w:usb2="00000012" w:usb3="00000000" w:csb0="4002009F" w:csb1="DFD70000"/>
  </w:font>
  <w:font w:name="方正仿宋_GBK">
    <w:panose1 w:val="02000000000000000000"/>
    <w:charset w:val="86"/>
    <w:family w:val="auto"/>
    <w:pitch w:val="default"/>
    <w:sig w:usb0="00000001" w:usb1="08000000" w:usb2="0000000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651E1">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EB9133E">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PrH04AgAAcA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KEEs0UOn768f30&#10;8+H06xt5G/VprZ8h7N4iMHTvTIfY4d7jMtLuKqfiLwgR+KHu8aKu6ALh8dF0Mp3mcHH4hgPws8fn&#10;1vnwXhhFolFQh/YlVdlh40MfOoTEbNqsGylTC6UmbUGvXr/J04OLB+BSx1iRhuEMEyn1pUcrdNvu&#10;zHNryiNoOtMPird83aCUDfPhjjlMBsrH7oRbfCppkNKcLUpq477+6z7Go2HwUtJi0gqqsViUyA8a&#10;jQRgGAw3GNvB0Ht1YzC6Y+yk5cnEAxfkYFbOqC9YqGXMARfTHJkKGgbzJvTTjoXkYrlMQXvrml3d&#10;P8AYWhY2+t7ymCZK5e1yHyBtUjwK1KuCTsUDBjH17Lw0cdL/PKeoxz+K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g4+sfTgCAABwBAAADgAAAAAAAAABACAAAAAfAQAAZHJzL2Uyb0RvYy54&#10;bWxQSwUGAAAAAAYABgBZAQAAyQUAAAAA&#10;">
              <v:fill on="f" focussize="0,0"/>
              <v:stroke on="f" weight="0.5pt"/>
              <v:imagedata o:title=""/>
              <o:lock v:ext="edit" aspectratio="f"/>
              <v:textbox inset="0mm,0mm,0mm,0mm" style="mso-fit-shape-to-text:t;">
                <w:txbxContent>
                  <w:p w14:paraId="5EB9133E">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DDFF1">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486331F">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9SoA4AgAAcAQAAA4AAABkcnMvZTJvRG9jLnhtbK1UzY7TMBC+I/EO&#10;lu80aRFLqZ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bEJLymRDOFjp++fzv9&#10;+HX6+ZW8ifq01s8QtrEIDN1b0yF2uPe4jLS7yqn4C0IEfqh7vKgrukB4fDSdTKc5XBy+4QD87OG5&#10;dT68E0aRaBTUoX1JVXa49aEPHUJiNm3WjZSphVKTtqBXL1/l6cHFA3CpY6xIw3CGiZT60qMVum13&#10;5rk15RE0nekHxVu+blDKLfPhnjlMBsrH7oQ7fCppkNKcLUpq47786z7Go2HwUtJi0gqqsViUyPca&#10;jQRgGAw3GNvB0Ht1YzC6Y+yk5cnEAxfkYFbOqM9YqGXMARfTHJkKGgbzJvTTjoXkYrlMQXvrml3d&#10;P8AYWhZu9cbymCZK5e1yHyBtUjwK1KuCTsUDBjH17Lw0cdL/PKeohz+K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SL1KgDgCAABwBAAADgAAAAAAAAABACAAAAAfAQAAZHJzL2Uyb0RvYy54&#10;bWxQSwUGAAAAAAYABgBZAQAAyQUAAAAA&#10;">
              <v:fill on="f" focussize="0,0"/>
              <v:stroke on="f" weight="0.5pt"/>
              <v:imagedata o:title=""/>
              <o:lock v:ext="edit" aspectratio="f"/>
              <v:textbox inset="0mm,0mm,0mm,0mm" style="mso-fit-shape-to-text:t;">
                <w:txbxContent>
                  <w:p w14:paraId="6486331F">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F9FAEF">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923A9F3">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mRc85AgAAcAQAAA4AAABkcnMvZTJvRG9jLnhtbK1UzY7TMBC+I/EO&#10;lu80aRGrUj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k4mlGim0PHTj++n&#10;nw+nX9/I26hPa/0MYfcWgaF7ZzpMzXDvcRlpd5VT8ReECPxQ93hRV3SB8PhoOplOc7g4fMMB+Nnj&#10;c+t8eC+MItEoqEP7kqrssPGhDx1CYjZt1o2UqYVSk7agV6/f5OnBxQNwqWOsSMNwhomU+tKjFbpt&#10;d+a5NeURNJ3pB8Vbvm5Qyob5cMccJgPlY3fCLT6VNEhpzhYltXFf/3Uf49EweClpMWkF1VgsSuQH&#10;jUYCMAyGG4ztYOi9ujEY3TF20vJk4oELcjArZ9QXLNQy5oCLaY5MBQ2DeRP6acdCcrFcpqC9dc2u&#10;7h9gDC0LG31veUwTpfJ2uQ+QNikeBepVQafiAYOYenZe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LomRc85AgAAcAQAAA4AAAAAAAAAAQAgAAAAHwEAAGRycy9lMm9Eb2Mu&#10;eG1sUEsFBgAAAAAGAAYAWQEAAMoFAAAAAA==&#10;">
              <v:fill on="f" focussize="0,0"/>
              <v:stroke on="f" weight="0.5pt"/>
              <v:imagedata o:title=""/>
              <o:lock v:ext="edit" aspectratio="f"/>
              <v:textbox inset="0mm,0mm,0mm,0mm" style="mso-fit-shape-to-text:t;">
                <w:txbxContent>
                  <w:p w14:paraId="1923A9F3">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39293">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59755A9">
                          <w:pPr>
                            <w:pStyle w:val="15"/>
                          </w:pPr>
                          <w:r>
                            <w:fldChar w:fldCharType="begin"/>
                          </w:r>
                          <w:r>
                            <w:instrText xml:space="preserve"> PAGE  \* MERGEFORMAT </w:instrText>
                          </w:r>
                          <w:r>
                            <w:fldChar w:fldCharType="separate"/>
                          </w:r>
                          <w:r>
                            <w:t>100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6b+o4AgAAbwQAAA4AAABkcnMvZTJvRG9jLnhtbK1UzY7TMBC+I/EO&#10;lu80aRFLqZ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Ys6GtKNFNo+On7t9OP&#10;X6efX8mbKE9r/QxRG4u40L01HYZmuPe4jKy7yqn4Cz4Efoh7vIgrukB4fDSdTKc5XBy+4QD87OG5&#10;dT68E0aRaBTUoXtJVHa49aEPHUJiNm3WjZSpg1KTtqBXL1/l6cHFA3CpY6xIs3CGiZT60qMVum13&#10;5rk15RE0nennxFu+blDKLfPhnjkMBsrH6oQ7fCppkNKcLUpq47786z7Go1/wUtJi0AqqsVeUyPca&#10;fQRgGAw3GNvB0Ht1YzC5Y6yk5cnEAxfkYFbOqM/Yp2XMARfTHJkKGgbzJvTDjn3kYrlMQXvrml3d&#10;P8AUWhZu9cbymCZK5e1yHyBtUjwK1KuCTsUD5jD17LwzcdD/PKeoh/+J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Afpv6jgCAABvBAAADgAAAAAAAAABACAAAAAfAQAAZHJzL2Uyb0RvYy54&#10;bWxQSwUGAAAAAAYABgBZAQAAyQUAAAAA&#10;">
              <v:fill on="f" focussize="0,0"/>
              <v:stroke on="f" weight="0.5pt"/>
              <v:imagedata o:title=""/>
              <o:lock v:ext="edit" aspectratio="f"/>
              <v:textbox inset="0mm,0mm,0mm,0mm" style="mso-fit-shape-to-text:t;">
                <w:txbxContent>
                  <w:p w14:paraId="259755A9">
                    <w:pPr>
                      <w:pStyle w:val="15"/>
                    </w:pPr>
                    <w:r>
                      <w:fldChar w:fldCharType="begin"/>
                    </w:r>
                    <w:r>
                      <w:instrText xml:space="preserve"> PAGE  \* MERGEFORMAT </w:instrText>
                    </w:r>
                    <w:r>
                      <w:fldChar w:fldCharType="separate"/>
                    </w:r>
                    <w:r>
                      <w:t>100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58677">
    <w:pPr>
      <w:pStyle w:val="1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9DD4C64">
                          <w:pPr>
                            <w:pStyle w:val="15"/>
                          </w:pPr>
                          <w:r>
                            <w:fldChar w:fldCharType="begin"/>
                          </w:r>
                          <w:r>
                            <w:instrText xml:space="preserve"> PAGE  \* MERGEFORMAT </w:instrText>
                          </w:r>
                          <w:r>
                            <w:fldChar w:fldCharType="separate"/>
                          </w:r>
                          <w:r>
                            <w:t>141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hZyqQ4AgAAcQQAAA4AAABkcnMvZTJvRG9jLnhtbK1UzY7TMBC+I/EO&#10;lu80bYFVVTVdla2KkCp2pYI4u47TRPKfbLdJeQB4A05cuO9z9Tn47DQtWjjsgYsz9sx8M/PNTGa3&#10;rZLkIJyvjc7paDCkRGhuilrvcvr50+rVhBIfmC6YNFrk9Cg8vZ2/fDFr7FSMTWVkIRwBiPbTxua0&#10;CsFOs8zzSijmB8YKDWVpnGIBV7fLCscaoCuZjYfDm6wxrrDOcOE9Xpedkp4R3XMATVnWXCwN3yuh&#10;Q4fqhGQBJfmqtp7OU7ZlKXi4L0svApE5RaUhnQgCeRvPbD5j051jtqr5OQX2nBSe1KRYrRH0ArVk&#10;gZG9q/+CUjV3xpsyDLhRWVdIYgRVjIZPuNlUzIpUC6j29kK6/3+w/OPhwZG6wCS8oUQzhY6ffnw/&#10;/Xw8/fpGRomgxvop7DYWlqF9Z1oYR+Liu8djrLstnYpfVESgB73HC72iDYRHp8l4MhlCxaHrL8DJ&#10;ru7W+fBeGEWikFOH/iVa2WHtQ2fam8Ro2qxqKVMPpSZNTm9evx0mh4sG4FJHW5Gm4QxzTT1Kod22&#10;53q2pjiiTGe6SfGWr2qksmY+PDCH0UD6WJ5wj6OUBiHNWaKkMu7rv96jPToGLSUNRi2nGptFifyg&#10;0UkAhl5wvbDtBb1XdwazO8JSWp5EOLgge7F0Rn3BRi1iDKiY5oiU09CLd6Ebd2wkF4tFMtpbV++q&#10;zgFzaFlY643lMUykytvFPoDaxHgkqGMFnYoXTGLq2Xlr4qj/eU9W1z/F/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eFnKpDgCAABxBAAADgAAAAAAAAABACAAAAAfAQAAZHJzL2Uyb0RvYy54&#10;bWxQSwUGAAAAAAYABgBZAQAAyQUAAAAA&#10;">
              <v:fill on="f" focussize="0,0"/>
              <v:stroke on="f" weight="0.5pt"/>
              <v:imagedata o:title=""/>
              <o:lock v:ext="edit" aspectratio="f"/>
              <v:textbox inset="0mm,0mm,0mm,0mm" style="mso-fit-shape-to-text:t;">
                <w:txbxContent>
                  <w:p w14:paraId="09DD4C64">
                    <w:pPr>
                      <w:pStyle w:val="15"/>
                    </w:pPr>
                    <w:r>
                      <w:fldChar w:fldCharType="begin"/>
                    </w:r>
                    <w:r>
                      <w:instrText xml:space="preserve"> PAGE  \* MERGEFORMAT </w:instrText>
                    </w:r>
                    <w:r>
                      <w:fldChar w:fldCharType="separate"/>
                    </w:r>
                    <w:r>
                      <w:t>141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AD972">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9011A84"/>
    <w:multiLevelType w:val="multilevel"/>
    <w:tmpl w:val="39011A84"/>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1">
    <w:nsid w:val="46EB8B64"/>
    <w:multiLevelType w:val="singleLevel"/>
    <w:tmpl w:val="46EB8B64"/>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3"/>
  <w:bordersDoNotSurroundHeader w:val="0"/>
  <w:bordersDoNotSurroundFooter w:val="0"/>
  <w:hideSpellingErrors/>
  <w:documentProtection w:enforcement="0"/>
  <w:defaultTabStop w:val="420"/>
  <w:drawingGridVerticalSpacing w:val="159"/>
  <w:displayHorizontalDrawingGridEvery w:val="1"/>
  <w:displayVerticalDrawingGridEvery w:val="1"/>
  <w:noPunctuationKerning w:val="1"/>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063"/>
    <w:rsid w:val="00002D13"/>
    <w:rsid w:val="000032F2"/>
    <w:rsid w:val="00003F38"/>
    <w:rsid w:val="000070B1"/>
    <w:rsid w:val="00007649"/>
    <w:rsid w:val="00010706"/>
    <w:rsid w:val="00010D20"/>
    <w:rsid w:val="00012721"/>
    <w:rsid w:val="00012A3D"/>
    <w:rsid w:val="00013998"/>
    <w:rsid w:val="00016A99"/>
    <w:rsid w:val="00017767"/>
    <w:rsid w:val="00020850"/>
    <w:rsid w:val="00020E86"/>
    <w:rsid w:val="00021D55"/>
    <w:rsid w:val="0002607D"/>
    <w:rsid w:val="000331C8"/>
    <w:rsid w:val="00034F75"/>
    <w:rsid w:val="0003527D"/>
    <w:rsid w:val="00035926"/>
    <w:rsid w:val="00036896"/>
    <w:rsid w:val="00036D63"/>
    <w:rsid w:val="000403C2"/>
    <w:rsid w:val="000439F9"/>
    <w:rsid w:val="00044226"/>
    <w:rsid w:val="00044DF9"/>
    <w:rsid w:val="00045892"/>
    <w:rsid w:val="00045AF3"/>
    <w:rsid w:val="00046064"/>
    <w:rsid w:val="000467EC"/>
    <w:rsid w:val="000470B6"/>
    <w:rsid w:val="000470D2"/>
    <w:rsid w:val="000504A7"/>
    <w:rsid w:val="00053929"/>
    <w:rsid w:val="00054FAF"/>
    <w:rsid w:val="00060383"/>
    <w:rsid w:val="000609AF"/>
    <w:rsid w:val="00061E39"/>
    <w:rsid w:val="00062DB8"/>
    <w:rsid w:val="00063EB2"/>
    <w:rsid w:val="00064507"/>
    <w:rsid w:val="00065628"/>
    <w:rsid w:val="00066EFF"/>
    <w:rsid w:val="000676A6"/>
    <w:rsid w:val="00067F98"/>
    <w:rsid w:val="00071FFE"/>
    <w:rsid w:val="00072059"/>
    <w:rsid w:val="00073C2D"/>
    <w:rsid w:val="00076380"/>
    <w:rsid w:val="000775C4"/>
    <w:rsid w:val="0008203C"/>
    <w:rsid w:val="000821A2"/>
    <w:rsid w:val="00083B0D"/>
    <w:rsid w:val="0008453A"/>
    <w:rsid w:val="00084A91"/>
    <w:rsid w:val="00086EF6"/>
    <w:rsid w:val="000875F7"/>
    <w:rsid w:val="000919D3"/>
    <w:rsid w:val="00092128"/>
    <w:rsid w:val="00092195"/>
    <w:rsid w:val="00096034"/>
    <w:rsid w:val="00096172"/>
    <w:rsid w:val="00097BF1"/>
    <w:rsid w:val="000A1E13"/>
    <w:rsid w:val="000A48F9"/>
    <w:rsid w:val="000A5EA0"/>
    <w:rsid w:val="000A6B0C"/>
    <w:rsid w:val="000B0682"/>
    <w:rsid w:val="000B0D22"/>
    <w:rsid w:val="000B21FC"/>
    <w:rsid w:val="000B2EFA"/>
    <w:rsid w:val="000B37B5"/>
    <w:rsid w:val="000B3949"/>
    <w:rsid w:val="000B3C0D"/>
    <w:rsid w:val="000B3C21"/>
    <w:rsid w:val="000B4226"/>
    <w:rsid w:val="000B43DB"/>
    <w:rsid w:val="000B4562"/>
    <w:rsid w:val="000B4939"/>
    <w:rsid w:val="000B49D9"/>
    <w:rsid w:val="000B4B22"/>
    <w:rsid w:val="000B515A"/>
    <w:rsid w:val="000B63AA"/>
    <w:rsid w:val="000B727B"/>
    <w:rsid w:val="000B76E0"/>
    <w:rsid w:val="000B7D63"/>
    <w:rsid w:val="000C0B16"/>
    <w:rsid w:val="000C1D77"/>
    <w:rsid w:val="000C1F3D"/>
    <w:rsid w:val="000C330C"/>
    <w:rsid w:val="000C595F"/>
    <w:rsid w:val="000C6DB9"/>
    <w:rsid w:val="000C6F23"/>
    <w:rsid w:val="000C7370"/>
    <w:rsid w:val="000C7663"/>
    <w:rsid w:val="000D1C22"/>
    <w:rsid w:val="000D5ABB"/>
    <w:rsid w:val="000D702D"/>
    <w:rsid w:val="000D712B"/>
    <w:rsid w:val="000E212D"/>
    <w:rsid w:val="000E29A5"/>
    <w:rsid w:val="000E4A8D"/>
    <w:rsid w:val="000E593B"/>
    <w:rsid w:val="000E5CE8"/>
    <w:rsid w:val="000E632A"/>
    <w:rsid w:val="000E69FC"/>
    <w:rsid w:val="000F038C"/>
    <w:rsid w:val="000F2B0F"/>
    <w:rsid w:val="000F35A9"/>
    <w:rsid w:val="000F4EE3"/>
    <w:rsid w:val="000F58D6"/>
    <w:rsid w:val="000F699D"/>
    <w:rsid w:val="00100175"/>
    <w:rsid w:val="00101699"/>
    <w:rsid w:val="00101B07"/>
    <w:rsid w:val="00103DE0"/>
    <w:rsid w:val="0010668C"/>
    <w:rsid w:val="00106D25"/>
    <w:rsid w:val="00107B3C"/>
    <w:rsid w:val="00112CBD"/>
    <w:rsid w:val="001138B3"/>
    <w:rsid w:val="00113A63"/>
    <w:rsid w:val="00113EE0"/>
    <w:rsid w:val="00115365"/>
    <w:rsid w:val="00115FE2"/>
    <w:rsid w:val="00117A68"/>
    <w:rsid w:val="001216A0"/>
    <w:rsid w:val="001216E8"/>
    <w:rsid w:val="00121F34"/>
    <w:rsid w:val="0012288A"/>
    <w:rsid w:val="00122B64"/>
    <w:rsid w:val="00124464"/>
    <w:rsid w:val="00125925"/>
    <w:rsid w:val="00125E62"/>
    <w:rsid w:val="001268B2"/>
    <w:rsid w:val="0012746F"/>
    <w:rsid w:val="00127E35"/>
    <w:rsid w:val="00131C07"/>
    <w:rsid w:val="00136AAB"/>
    <w:rsid w:val="001379B8"/>
    <w:rsid w:val="001403D9"/>
    <w:rsid w:val="001424CB"/>
    <w:rsid w:val="00142991"/>
    <w:rsid w:val="00142D8E"/>
    <w:rsid w:val="00142FB6"/>
    <w:rsid w:val="00143C40"/>
    <w:rsid w:val="00144003"/>
    <w:rsid w:val="0014403C"/>
    <w:rsid w:val="00145207"/>
    <w:rsid w:val="00150150"/>
    <w:rsid w:val="00150C30"/>
    <w:rsid w:val="001538CB"/>
    <w:rsid w:val="00153EE7"/>
    <w:rsid w:val="00154F3E"/>
    <w:rsid w:val="00154F95"/>
    <w:rsid w:val="00155CB4"/>
    <w:rsid w:val="00156840"/>
    <w:rsid w:val="00157D15"/>
    <w:rsid w:val="0017231E"/>
    <w:rsid w:val="00172A27"/>
    <w:rsid w:val="00172E5D"/>
    <w:rsid w:val="0017336C"/>
    <w:rsid w:val="001740D3"/>
    <w:rsid w:val="00175AE2"/>
    <w:rsid w:val="001770E0"/>
    <w:rsid w:val="00180822"/>
    <w:rsid w:val="00184B2B"/>
    <w:rsid w:val="00184BB2"/>
    <w:rsid w:val="00193614"/>
    <w:rsid w:val="00195D80"/>
    <w:rsid w:val="00196BD2"/>
    <w:rsid w:val="001A03CC"/>
    <w:rsid w:val="001A11F8"/>
    <w:rsid w:val="001A474F"/>
    <w:rsid w:val="001A4D33"/>
    <w:rsid w:val="001A5399"/>
    <w:rsid w:val="001A58CB"/>
    <w:rsid w:val="001A6889"/>
    <w:rsid w:val="001B21EF"/>
    <w:rsid w:val="001B4DD4"/>
    <w:rsid w:val="001B60CA"/>
    <w:rsid w:val="001B6942"/>
    <w:rsid w:val="001B7BB1"/>
    <w:rsid w:val="001C0FDE"/>
    <w:rsid w:val="001C1078"/>
    <w:rsid w:val="001C4306"/>
    <w:rsid w:val="001C53CB"/>
    <w:rsid w:val="001D0C5B"/>
    <w:rsid w:val="001D338A"/>
    <w:rsid w:val="001D5C40"/>
    <w:rsid w:val="001E027F"/>
    <w:rsid w:val="001E0DE7"/>
    <w:rsid w:val="001E5018"/>
    <w:rsid w:val="001F3770"/>
    <w:rsid w:val="001F3B7A"/>
    <w:rsid w:val="001F49DA"/>
    <w:rsid w:val="001F579F"/>
    <w:rsid w:val="001F6376"/>
    <w:rsid w:val="001F7082"/>
    <w:rsid w:val="00204025"/>
    <w:rsid w:val="00206812"/>
    <w:rsid w:val="00206AF3"/>
    <w:rsid w:val="002077F2"/>
    <w:rsid w:val="00212038"/>
    <w:rsid w:val="0021242D"/>
    <w:rsid w:val="002155E7"/>
    <w:rsid w:val="00217111"/>
    <w:rsid w:val="002222B7"/>
    <w:rsid w:val="00224B5E"/>
    <w:rsid w:val="00230291"/>
    <w:rsid w:val="0023088F"/>
    <w:rsid w:val="002308EC"/>
    <w:rsid w:val="00231388"/>
    <w:rsid w:val="002318F4"/>
    <w:rsid w:val="0023265B"/>
    <w:rsid w:val="00234568"/>
    <w:rsid w:val="0023572D"/>
    <w:rsid w:val="00235856"/>
    <w:rsid w:val="00236AD3"/>
    <w:rsid w:val="00236DBA"/>
    <w:rsid w:val="0024181B"/>
    <w:rsid w:val="00243833"/>
    <w:rsid w:val="00243E87"/>
    <w:rsid w:val="002478CD"/>
    <w:rsid w:val="00247C34"/>
    <w:rsid w:val="00252535"/>
    <w:rsid w:val="002527F2"/>
    <w:rsid w:val="0025440D"/>
    <w:rsid w:val="002553F7"/>
    <w:rsid w:val="0025594D"/>
    <w:rsid w:val="002560AA"/>
    <w:rsid w:val="00257F47"/>
    <w:rsid w:val="002618A3"/>
    <w:rsid w:val="002644F9"/>
    <w:rsid w:val="00265696"/>
    <w:rsid w:val="00266676"/>
    <w:rsid w:val="002667BF"/>
    <w:rsid w:val="00270229"/>
    <w:rsid w:val="002732F9"/>
    <w:rsid w:val="00273559"/>
    <w:rsid w:val="002749D7"/>
    <w:rsid w:val="00275837"/>
    <w:rsid w:val="002769B0"/>
    <w:rsid w:val="00276BBA"/>
    <w:rsid w:val="0028112E"/>
    <w:rsid w:val="002835C6"/>
    <w:rsid w:val="0028638D"/>
    <w:rsid w:val="00286FF3"/>
    <w:rsid w:val="00287429"/>
    <w:rsid w:val="002901A1"/>
    <w:rsid w:val="00291DE0"/>
    <w:rsid w:val="00293E7D"/>
    <w:rsid w:val="00294436"/>
    <w:rsid w:val="00296C3D"/>
    <w:rsid w:val="002A1293"/>
    <w:rsid w:val="002A510A"/>
    <w:rsid w:val="002A5B87"/>
    <w:rsid w:val="002A6C1F"/>
    <w:rsid w:val="002A6D51"/>
    <w:rsid w:val="002A7BF6"/>
    <w:rsid w:val="002A7F4A"/>
    <w:rsid w:val="002B2490"/>
    <w:rsid w:val="002B33F5"/>
    <w:rsid w:val="002B34BC"/>
    <w:rsid w:val="002B5826"/>
    <w:rsid w:val="002B7AED"/>
    <w:rsid w:val="002C0007"/>
    <w:rsid w:val="002C2B0A"/>
    <w:rsid w:val="002D0502"/>
    <w:rsid w:val="002D0D40"/>
    <w:rsid w:val="002D0EB3"/>
    <w:rsid w:val="002D7FE6"/>
    <w:rsid w:val="002E01E9"/>
    <w:rsid w:val="002E11A9"/>
    <w:rsid w:val="002E1444"/>
    <w:rsid w:val="002E4A50"/>
    <w:rsid w:val="002E6E9C"/>
    <w:rsid w:val="002F11CB"/>
    <w:rsid w:val="002F1963"/>
    <w:rsid w:val="002F1A96"/>
    <w:rsid w:val="002F240A"/>
    <w:rsid w:val="002F788A"/>
    <w:rsid w:val="003000EC"/>
    <w:rsid w:val="0030080D"/>
    <w:rsid w:val="00302D14"/>
    <w:rsid w:val="00304EFE"/>
    <w:rsid w:val="00314EE3"/>
    <w:rsid w:val="00317498"/>
    <w:rsid w:val="00321CE7"/>
    <w:rsid w:val="00322AB5"/>
    <w:rsid w:val="003235C6"/>
    <w:rsid w:val="003244F8"/>
    <w:rsid w:val="003245B9"/>
    <w:rsid w:val="00325332"/>
    <w:rsid w:val="0032711B"/>
    <w:rsid w:val="003313DE"/>
    <w:rsid w:val="00332C6B"/>
    <w:rsid w:val="00333285"/>
    <w:rsid w:val="00333EE0"/>
    <w:rsid w:val="003358C6"/>
    <w:rsid w:val="0033788C"/>
    <w:rsid w:val="00337E8E"/>
    <w:rsid w:val="003411EB"/>
    <w:rsid w:val="00342012"/>
    <w:rsid w:val="00342202"/>
    <w:rsid w:val="00342996"/>
    <w:rsid w:val="003429E5"/>
    <w:rsid w:val="00342B72"/>
    <w:rsid w:val="003437E8"/>
    <w:rsid w:val="00343CD6"/>
    <w:rsid w:val="00347D6F"/>
    <w:rsid w:val="00350D39"/>
    <w:rsid w:val="0035275B"/>
    <w:rsid w:val="00352C41"/>
    <w:rsid w:val="00355CB3"/>
    <w:rsid w:val="00356B61"/>
    <w:rsid w:val="00356D40"/>
    <w:rsid w:val="003671B4"/>
    <w:rsid w:val="00367E48"/>
    <w:rsid w:val="00371076"/>
    <w:rsid w:val="003729B5"/>
    <w:rsid w:val="00372B1E"/>
    <w:rsid w:val="00374CEE"/>
    <w:rsid w:val="00376105"/>
    <w:rsid w:val="0037683E"/>
    <w:rsid w:val="003773BF"/>
    <w:rsid w:val="00377B3D"/>
    <w:rsid w:val="00377FC4"/>
    <w:rsid w:val="00380787"/>
    <w:rsid w:val="00380D4B"/>
    <w:rsid w:val="003813BA"/>
    <w:rsid w:val="00381C6B"/>
    <w:rsid w:val="003838DB"/>
    <w:rsid w:val="00383C4C"/>
    <w:rsid w:val="00384197"/>
    <w:rsid w:val="00384F33"/>
    <w:rsid w:val="00387922"/>
    <w:rsid w:val="003921ED"/>
    <w:rsid w:val="003923DA"/>
    <w:rsid w:val="00397CBD"/>
    <w:rsid w:val="003A0849"/>
    <w:rsid w:val="003A1906"/>
    <w:rsid w:val="003A19A5"/>
    <w:rsid w:val="003A5C2C"/>
    <w:rsid w:val="003A785B"/>
    <w:rsid w:val="003B3F71"/>
    <w:rsid w:val="003B6E06"/>
    <w:rsid w:val="003B7CC1"/>
    <w:rsid w:val="003B7F37"/>
    <w:rsid w:val="003C0865"/>
    <w:rsid w:val="003C370D"/>
    <w:rsid w:val="003C3BB6"/>
    <w:rsid w:val="003C7267"/>
    <w:rsid w:val="003D02CA"/>
    <w:rsid w:val="003D0A86"/>
    <w:rsid w:val="003D218C"/>
    <w:rsid w:val="003D39F5"/>
    <w:rsid w:val="003D3C04"/>
    <w:rsid w:val="003D6741"/>
    <w:rsid w:val="003E118E"/>
    <w:rsid w:val="003E4D0E"/>
    <w:rsid w:val="003E6A10"/>
    <w:rsid w:val="003E7C41"/>
    <w:rsid w:val="003F6BFB"/>
    <w:rsid w:val="003F6D46"/>
    <w:rsid w:val="003F760E"/>
    <w:rsid w:val="00400CF5"/>
    <w:rsid w:val="00401299"/>
    <w:rsid w:val="004053BD"/>
    <w:rsid w:val="004076AD"/>
    <w:rsid w:val="00411474"/>
    <w:rsid w:val="00412841"/>
    <w:rsid w:val="00413FA3"/>
    <w:rsid w:val="004142B3"/>
    <w:rsid w:val="004177BF"/>
    <w:rsid w:val="004178DA"/>
    <w:rsid w:val="00420E3D"/>
    <w:rsid w:val="004212A6"/>
    <w:rsid w:val="004242AC"/>
    <w:rsid w:val="004242F6"/>
    <w:rsid w:val="0042508B"/>
    <w:rsid w:val="00425ACF"/>
    <w:rsid w:val="004318DD"/>
    <w:rsid w:val="00433501"/>
    <w:rsid w:val="0043542F"/>
    <w:rsid w:val="00435479"/>
    <w:rsid w:val="00436787"/>
    <w:rsid w:val="00436FE3"/>
    <w:rsid w:val="00440107"/>
    <w:rsid w:val="0044238C"/>
    <w:rsid w:val="00442B2F"/>
    <w:rsid w:val="004432CD"/>
    <w:rsid w:val="00443655"/>
    <w:rsid w:val="00444C99"/>
    <w:rsid w:val="00447A58"/>
    <w:rsid w:val="004502A2"/>
    <w:rsid w:val="0045538B"/>
    <w:rsid w:val="00455684"/>
    <w:rsid w:val="00456A26"/>
    <w:rsid w:val="004650D9"/>
    <w:rsid w:val="00470CAD"/>
    <w:rsid w:val="004715A0"/>
    <w:rsid w:val="0047670E"/>
    <w:rsid w:val="004810D7"/>
    <w:rsid w:val="00482ED3"/>
    <w:rsid w:val="004862FC"/>
    <w:rsid w:val="00491374"/>
    <w:rsid w:val="004966A4"/>
    <w:rsid w:val="00497C93"/>
    <w:rsid w:val="004A00C2"/>
    <w:rsid w:val="004A03FF"/>
    <w:rsid w:val="004A1168"/>
    <w:rsid w:val="004B0003"/>
    <w:rsid w:val="004B0646"/>
    <w:rsid w:val="004B138A"/>
    <w:rsid w:val="004B1785"/>
    <w:rsid w:val="004B2922"/>
    <w:rsid w:val="004B38AD"/>
    <w:rsid w:val="004C17DC"/>
    <w:rsid w:val="004C22F9"/>
    <w:rsid w:val="004C32ED"/>
    <w:rsid w:val="004C3475"/>
    <w:rsid w:val="004C3B2F"/>
    <w:rsid w:val="004C4E23"/>
    <w:rsid w:val="004C70D8"/>
    <w:rsid w:val="004D0A7F"/>
    <w:rsid w:val="004D4C8D"/>
    <w:rsid w:val="004E0672"/>
    <w:rsid w:val="004E0864"/>
    <w:rsid w:val="004E0EB7"/>
    <w:rsid w:val="004E5EB0"/>
    <w:rsid w:val="004E686F"/>
    <w:rsid w:val="004E78CE"/>
    <w:rsid w:val="004F069F"/>
    <w:rsid w:val="004F0AAF"/>
    <w:rsid w:val="004F0C6A"/>
    <w:rsid w:val="004F1A22"/>
    <w:rsid w:val="004F2904"/>
    <w:rsid w:val="004F5B8A"/>
    <w:rsid w:val="004F79CA"/>
    <w:rsid w:val="00502182"/>
    <w:rsid w:val="00503026"/>
    <w:rsid w:val="00503E83"/>
    <w:rsid w:val="005068FE"/>
    <w:rsid w:val="00510022"/>
    <w:rsid w:val="0051093A"/>
    <w:rsid w:val="0051173B"/>
    <w:rsid w:val="00512F3E"/>
    <w:rsid w:val="00514E1A"/>
    <w:rsid w:val="00516D29"/>
    <w:rsid w:val="0052304D"/>
    <w:rsid w:val="0052369A"/>
    <w:rsid w:val="00530FCE"/>
    <w:rsid w:val="00533580"/>
    <w:rsid w:val="00534401"/>
    <w:rsid w:val="00534832"/>
    <w:rsid w:val="00536E11"/>
    <w:rsid w:val="00541091"/>
    <w:rsid w:val="0054522B"/>
    <w:rsid w:val="00545A6B"/>
    <w:rsid w:val="00545B08"/>
    <w:rsid w:val="0054776F"/>
    <w:rsid w:val="00547E8D"/>
    <w:rsid w:val="00550B32"/>
    <w:rsid w:val="00550B91"/>
    <w:rsid w:val="00552400"/>
    <w:rsid w:val="00556401"/>
    <w:rsid w:val="0055679B"/>
    <w:rsid w:val="005571C8"/>
    <w:rsid w:val="00557252"/>
    <w:rsid w:val="005577C1"/>
    <w:rsid w:val="005614D2"/>
    <w:rsid w:val="0056353C"/>
    <w:rsid w:val="00565CD7"/>
    <w:rsid w:val="005735EE"/>
    <w:rsid w:val="00573769"/>
    <w:rsid w:val="0057392D"/>
    <w:rsid w:val="00576052"/>
    <w:rsid w:val="00576194"/>
    <w:rsid w:val="00576BB7"/>
    <w:rsid w:val="00577760"/>
    <w:rsid w:val="00580CBD"/>
    <w:rsid w:val="00585658"/>
    <w:rsid w:val="00585840"/>
    <w:rsid w:val="005864A5"/>
    <w:rsid w:val="005913FE"/>
    <w:rsid w:val="00591D88"/>
    <w:rsid w:val="005922E9"/>
    <w:rsid w:val="00592AEF"/>
    <w:rsid w:val="00594B08"/>
    <w:rsid w:val="005A02A3"/>
    <w:rsid w:val="005A0B9B"/>
    <w:rsid w:val="005A7127"/>
    <w:rsid w:val="005B4601"/>
    <w:rsid w:val="005B73C3"/>
    <w:rsid w:val="005B7752"/>
    <w:rsid w:val="005C0A6D"/>
    <w:rsid w:val="005C1663"/>
    <w:rsid w:val="005C2D49"/>
    <w:rsid w:val="005D04A9"/>
    <w:rsid w:val="005D208C"/>
    <w:rsid w:val="005E2154"/>
    <w:rsid w:val="005E28E9"/>
    <w:rsid w:val="005E5A9E"/>
    <w:rsid w:val="005E5B1E"/>
    <w:rsid w:val="005E5B5D"/>
    <w:rsid w:val="005E7110"/>
    <w:rsid w:val="005E7B60"/>
    <w:rsid w:val="005E7C9E"/>
    <w:rsid w:val="005F309F"/>
    <w:rsid w:val="005F465D"/>
    <w:rsid w:val="00605065"/>
    <w:rsid w:val="00611141"/>
    <w:rsid w:val="00615915"/>
    <w:rsid w:val="00620BC1"/>
    <w:rsid w:val="00622DC0"/>
    <w:rsid w:val="006235F9"/>
    <w:rsid w:val="00623765"/>
    <w:rsid w:val="00626033"/>
    <w:rsid w:val="00632741"/>
    <w:rsid w:val="006353EA"/>
    <w:rsid w:val="0063650F"/>
    <w:rsid w:val="0063692A"/>
    <w:rsid w:val="00637574"/>
    <w:rsid w:val="00637A42"/>
    <w:rsid w:val="006409E7"/>
    <w:rsid w:val="00642D2F"/>
    <w:rsid w:val="006432FA"/>
    <w:rsid w:val="006465B4"/>
    <w:rsid w:val="006532FC"/>
    <w:rsid w:val="006544F1"/>
    <w:rsid w:val="00655A4E"/>
    <w:rsid w:val="006560E3"/>
    <w:rsid w:val="006566C1"/>
    <w:rsid w:val="00657F0F"/>
    <w:rsid w:val="00660176"/>
    <w:rsid w:val="00660770"/>
    <w:rsid w:val="00662DFC"/>
    <w:rsid w:val="00670A67"/>
    <w:rsid w:val="00676875"/>
    <w:rsid w:val="00677627"/>
    <w:rsid w:val="00677D4C"/>
    <w:rsid w:val="00680062"/>
    <w:rsid w:val="00681300"/>
    <w:rsid w:val="00681719"/>
    <w:rsid w:val="00681C63"/>
    <w:rsid w:val="0068273C"/>
    <w:rsid w:val="00685006"/>
    <w:rsid w:val="00685EBA"/>
    <w:rsid w:val="00686594"/>
    <w:rsid w:val="00692A5C"/>
    <w:rsid w:val="00692F13"/>
    <w:rsid w:val="00695B1B"/>
    <w:rsid w:val="006A1C72"/>
    <w:rsid w:val="006A2292"/>
    <w:rsid w:val="006A76D3"/>
    <w:rsid w:val="006B027C"/>
    <w:rsid w:val="006B6141"/>
    <w:rsid w:val="006B6AB1"/>
    <w:rsid w:val="006C066C"/>
    <w:rsid w:val="006C1B93"/>
    <w:rsid w:val="006C3325"/>
    <w:rsid w:val="006C3727"/>
    <w:rsid w:val="006C3BB3"/>
    <w:rsid w:val="006C3ECB"/>
    <w:rsid w:val="006C55A2"/>
    <w:rsid w:val="006D02D4"/>
    <w:rsid w:val="006D27FE"/>
    <w:rsid w:val="006D282B"/>
    <w:rsid w:val="006E1CED"/>
    <w:rsid w:val="006E3615"/>
    <w:rsid w:val="006E3E00"/>
    <w:rsid w:val="006E432E"/>
    <w:rsid w:val="006E4DB3"/>
    <w:rsid w:val="006E5CBE"/>
    <w:rsid w:val="006E5D5C"/>
    <w:rsid w:val="006E63D9"/>
    <w:rsid w:val="006F05A2"/>
    <w:rsid w:val="006F0880"/>
    <w:rsid w:val="006F11B6"/>
    <w:rsid w:val="006F1C63"/>
    <w:rsid w:val="006F3C38"/>
    <w:rsid w:val="006F5EE9"/>
    <w:rsid w:val="006F7D22"/>
    <w:rsid w:val="006F7D9F"/>
    <w:rsid w:val="00701DC1"/>
    <w:rsid w:val="00701EA6"/>
    <w:rsid w:val="0070530D"/>
    <w:rsid w:val="007101E8"/>
    <w:rsid w:val="00714751"/>
    <w:rsid w:val="007155A6"/>
    <w:rsid w:val="0071608D"/>
    <w:rsid w:val="007175FF"/>
    <w:rsid w:val="0071761D"/>
    <w:rsid w:val="0072014F"/>
    <w:rsid w:val="00721097"/>
    <w:rsid w:val="007270AE"/>
    <w:rsid w:val="00731EE1"/>
    <w:rsid w:val="007339C2"/>
    <w:rsid w:val="00734698"/>
    <w:rsid w:val="0073577A"/>
    <w:rsid w:val="007362A8"/>
    <w:rsid w:val="00736783"/>
    <w:rsid w:val="00737179"/>
    <w:rsid w:val="0074623C"/>
    <w:rsid w:val="0074667F"/>
    <w:rsid w:val="00746902"/>
    <w:rsid w:val="00747BBA"/>
    <w:rsid w:val="007518E5"/>
    <w:rsid w:val="007519AF"/>
    <w:rsid w:val="00751AFA"/>
    <w:rsid w:val="00754B1D"/>
    <w:rsid w:val="00754D54"/>
    <w:rsid w:val="00756857"/>
    <w:rsid w:val="007637F0"/>
    <w:rsid w:val="00765F9E"/>
    <w:rsid w:val="00772E58"/>
    <w:rsid w:val="00773FDF"/>
    <w:rsid w:val="00775256"/>
    <w:rsid w:val="007759BE"/>
    <w:rsid w:val="00781956"/>
    <w:rsid w:val="00782F45"/>
    <w:rsid w:val="00784AC6"/>
    <w:rsid w:val="00785248"/>
    <w:rsid w:val="00785899"/>
    <w:rsid w:val="007861D7"/>
    <w:rsid w:val="00786794"/>
    <w:rsid w:val="0078757B"/>
    <w:rsid w:val="007878F1"/>
    <w:rsid w:val="007905A4"/>
    <w:rsid w:val="00792770"/>
    <w:rsid w:val="00793322"/>
    <w:rsid w:val="00793CC5"/>
    <w:rsid w:val="007941F9"/>
    <w:rsid w:val="0079435F"/>
    <w:rsid w:val="0079646C"/>
    <w:rsid w:val="00797FA3"/>
    <w:rsid w:val="007A2239"/>
    <w:rsid w:val="007A3F08"/>
    <w:rsid w:val="007B0580"/>
    <w:rsid w:val="007B267C"/>
    <w:rsid w:val="007B3FB0"/>
    <w:rsid w:val="007B4676"/>
    <w:rsid w:val="007B6050"/>
    <w:rsid w:val="007C038E"/>
    <w:rsid w:val="007C19D3"/>
    <w:rsid w:val="007C1F04"/>
    <w:rsid w:val="007C2DD2"/>
    <w:rsid w:val="007C459A"/>
    <w:rsid w:val="007D0103"/>
    <w:rsid w:val="007D1521"/>
    <w:rsid w:val="007D4730"/>
    <w:rsid w:val="007D6C7F"/>
    <w:rsid w:val="007E4AAA"/>
    <w:rsid w:val="007E4E70"/>
    <w:rsid w:val="007F1B93"/>
    <w:rsid w:val="007F2458"/>
    <w:rsid w:val="007F32A3"/>
    <w:rsid w:val="007F379E"/>
    <w:rsid w:val="007F3D10"/>
    <w:rsid w:val="007F7B09"/>
    <w:rsid w:val="00801C0B"/>
    <w:rsid w:val="00803FDA"/>
    <w:rsid w:val="008050A9"/>
    <w:rsid w:val="00813174"/>
    <w:rsid w:val="008145DA"/>
    <w:rsid w:val="008177E8"/>
    <w:rsid w:val="00824931"/>
    <w:rsid w:val="00824DBB"/>
    <w:rsid w:val="00825A43"/>
    <w:rsid w:val="0082671F"/>
    <w:rsid w:val="00826EDE"/>
    <w:rsid w:val="00831B55"/>
    <w:rsid w:val="00831D3E"/>
    <w:rsid w:val="008330E7"/>
    <w:rsid w:val="00833379"/>
    <w:rsid w:val="00833F61"/>
    <w:rsid w:val="0084015E"/>
    <w:rsid w:val="00840AA9"/>
    <w:rsid w:val="008412AA"/>
    <w:rsid w:val="00844B62"/>
    <w:rsid w:val="00845016"/>
    <w:rsid w:val="008450F5"/>
    <w:rsid w:val="008458BF"/>
    <w:rsid w:val="0085059C"/>
    <w:rsid w:val="008522C6"/>
    <w:rsid w:val="00853742"/>
    <w:rsid w:val="00855C23"/>
    <w:rsid w:val="008625DB"/>
    <w:rsid w:val="00863B1D"/>
    <w:rsid w:val="008678BE"/>
    <w:rsid w:val="0087062C"/>
    <w:rsid w:val="00871AF1"/>
    <w:rsid w:val="00872AEE"/>
    <w:rsid w:val="0087311F"/>
    <w:rsid w:val="008731EF"/>
    <w:rsid w:val="008756C1"/>
    <w:rsid w:val="00875902"/>
    <w:rsid w:val="00876974"/>
    <w:rsid w:val="008778A2"/>
    <w:rsid w:val="00881C89"/>
    <w:rsid w:val="00885B1E"/>
    <w:rsid w:val="00890EFE"/>
    <w:rsid w:val="0089176C"/>
    <w:rsid w:val="00892B5F"/>
    <w:rsid w:val="00892BF5"/>
    <w:rsid w:val="00892C1D"/>
    <w:rsid w:val="0089401F"/>
    <w:rsid w:val="00894F40"/>
    <w:rsid w:val="008A094E"/>
    <w:rsid w:val="008A0E5D"/>
    <w:rsid w:val="008A39B1"/>
    <w:rsid w:val="008A5691"/>
    <w:rsid w:val="008A672F"/>
    <w:rsid w:val="008B33FA"/>
    <w:rsid w:val="008B3F72"/>
    <w:rsid w:val="008B4372"/>
    <w:rsid w:val="008B4902"/>
    <w:rsid w:val="008B4A54"/>
    <w:rsid w:val="008B722C"/>
    <w:rsid w:val="008C00D1"/>
    <w:rsid w:val="008C1643"/>
    <w:rsid w:val="008C1CBE"/>
    <w:rsid w:val="008C1D4C"/>
    <w:rsid w:val="008C44B1"/>
    <w:rsid w:val="008C52D1"/>
    <w:rsid w:val="008D09DC"/>
    <w:rsid w:val="008D243F"/>
    <w:rsid w:val="008D3FF3"/>
    <w:rsid w:val="008D4BE2"/>
    <w:rsid w:val="008D581A"/>
    <w:rsid w:val="008D7CB3"/>
    <w:rsid w:val="008E0C77"/>
    <w:rsid w:val="008E203C"/>
    <w:rsid w:val="008E3566"/>
    <w:rsid w:val="008E404F"/>
    <w:rsid w:val="008E4088"/>
    <w:rsid w:val="008E7268"/>
    <w:rsid w:val="008F00E7"/>
    <w:rsid w:val="008F03FC"/>
    <w:rsid w:val="008F0CE1"/>
    <w:rsid w:val="008F0D25"/>
    <w:rsid w:val="008F143A"/>
    <w:rsid w:val="008F546D"/>
    <w:rsid w:val="0090089D"/>
    <w:rsid w:val="00903919"/>
    <w:rsid w:val="0090504D"/>
    <w:rsid w:val="009063EC"/>
    <w:rsid w:val="00906BE3"/>
    <w:rsid w:val="0090711C"/>
    <w:rsid w:val="009103E9"/>
    <w:rsid w:val="009121DC"/>
    <w:rsid w:val="00912386"/>
    <w:rsid w:val="00920754"/>
    <w:rsid w:val="0092206B"/>
    <w:rsid w:val="009233A9"/>
    <w:rsid w:val="009259A0"/>
    <w:rsid w:val="0092611A"/>
    <w:rsid w:val="00930850"/>
    <w:rsid w:val="00930D62"/>
    <w:rsid w:val="009328C9"/>
    <w:rsid w:val="00933D27"/>
    <w:rsid w:val="00934085"/>
    <w:rsid w:val="009346FC"/>
    <w:rsid w:val="009455CA"/>
    <w:rsid w:val="00945929"/>
    <w:rsid w:val="009461A7"/>
    <w:rsid w:val="00947446"/>
    <w:rsid w:val="00951E8F"/>
    <w:rsid w:val="0095202C"/>
    <w:rsid w:val="00953C28"/>
    <w:rsid w:val="00954664"/>
    <w:rsid w:val="00955B41"/>
    <w:rsid w:val="00957027"/>
    <w:rsid w:val="00957AD9"/>
    <w:rsid w:val="00964DBF"/>
    <w:rsid w:val="009651BB"/>
    <w:rsid w:val="0097010E"/>
    <w:rsid w:val="0097190A"/>
    <w:rsid w:val="00971E70"/>
    <w:rsid w:val="00972257"/>
    <w:rsid w:val="00973E6E"/>
    <w:rsid w:val="009760BF"/>
    <w:rsid w:val="00976CBF"/>
    <w:rsid w:val="009806E2"/>
    <w:rsid w:val="009819A1"/>
    <w:rsid w:val="0098298F"/>
    <w:rsid w:val="00984917"/>
    <w:rsid w:val="00986624"/>
    <w:rsid w:val="009877F7"/>
    <w:rsid w:val="00987A4A"/>
    <w:rsid w:val="009928DF"/>
    <w:rsid w:val="00994260"/>
    <w:rsid w:val="00996308"/>
    <w:rsid w:val="00996925"/>
    <w:rsid w:val="009973B9"/>
    <w:rsid w:val="0099740C"/>
    <w:rsid w:val="009A43B3"/>
    <w:rsid w:val="009A5509"/>
    <w:rsid w:val="009A632F"/>
    <w:rsid w:val="009A7112"/>
    <w:rsid w:val="009B2395"/>
    <w:rsid w:val="009B2E72"/>
    <w:rsid w:val="009B4E6B"/>
    <w:rsid w:val="009B5A41"/>
    <w:rsid w:val="009B5BAE"/>
    <w:rsid w:val="009B6455"/>
    <w:rsid w:val="009C21CF"/>
    <w:rsid w:val="009C39E5"/>
    <w:rsid w:val="009C5DB4"/>
    <w:rsid w:val="009C73D6"/>
    <w:rsid w:val="009D0411"/>
    <w:rsid w:val="009D2763"/>
    <w:rsid w:val="009D6DB2"/>
    <w:rsid w:val="009D7D0D"/>
    <w:rsid w:val="009E081E"/>
    <w:rsid w:val="009E1CE3"/>
    <w:rsid w:val="009E339B"/>
    <w:rsid w:val="009E6473"/>
    <w:rsid w:val="009E6C6C"/>
    <w:rsid w:val="009E6DEC"/>
    <w:rsid w:val="009E6E03"/>
    <w:rsid w:val="009E72BD"/>
    <w:rsid w:val="009F092F"/>
    <w:rsid w:val="009F161F"/>
    <w:rsid w:val="009F1634"/>
    <w:rsid w:val="009F380D"/>
    <w:rsid w:val="009F3831"/>
    <w:rsid w:val="009F38EF"/>
    <w:rsid w:val="009F4827"/>
    <w:rsid w:val="009F51D9"/>
    <w:rsid w:val="009F7E89"/>
    <w:rsid w:val="00A00E88"/>
    <w:rsid w:val="00A0246F"/>
    <w:rsid w:val="00A02A04"/>
    <w:rsid w:val="00A06391"/>
    <w:rsid w:val="00A10B3F"/>
    <w:rsid w:val="00A157BE"/>
    <w:rsid w:val="00A15BAC"/>
    <w:rsid w:val="00A168F4"/>
    <w:rsid w:val="00A21969"/>
    <w:rsid w:val="00A22848"/>
    <w:rsid w:val="00A228C7"/>
    <w:rsid w:val="00A26832"/>
    <w:rsid w:val="00A27517"/>
    <w:rsid w:val="00A27CB5"/>
    <w:rsid w:val="00A30556"/>
    <w:rsid w:val="00A310D4"/>
    <w:rsid w:val="00A323FF"/>
    <w:rsid w:val="00A326BD"/>
    <w:rsid w:val="00A33557"/>
    <w:rsid w:val="00A33927"/>
    <w:rsid w:val="00A362DA"/>
    <w:rsid w:val="00A37A61"/>
    <w:rsid w:val="00A41465"/>
    <w:rsid w:val="00A43B2F"/>
    <w:rsid w:val="00A4432E"/>
    <w:rsid w:val="00A447D1"/>
    <w:rsid w:val="00A46A94"/>
    <w:rsid w:val="00A47294"/>
    <w:rsid w:val="00A47968"/>
    <w:rsid w:val="00A50B8F"/>
    <w:rsid w:val="00A51AA5"/>
    <w:rsid w:val="00A53EA3"/>
    <w:rsid w:val="00A56DE1"/>
    <w:rsid w:val="00A6091F"/>
    <w:rsid w:val="00A60B0A"/>
    <w:rsid w:val="00A610E5"/>
    <w:rsid w:val="00A61503"/>
    <w:rsid w:val="00A67CFA"/>
    <w:rsid w:val="00A707E2"/>
    <w:rsid w:val="00A72763"/>
    <w:rsid w:val="00A76AD9"/>
    <w:rsid w:val="00A803E5"/>
    <w:rsid w:val="00A819C5"/>
    <w:rsid w:val="00A81C1A"/>
    <w:rsid w:val="00A8637E"/>
    <w:rsid w:val="00A8732E"/>
    <w:rsid w:val="00A8738C"/>
    <w:rsid w:val="00A87EB3"/>
    <w:rsid w:val="00A90E8D"/>
    <w:rsid w:val="00A91A1C"/>
    <w:rsid w:val="00A93C95"/>
    <w:rsid w:val="00A96E5E"/>
    <w:rsid w:val="00A978B3"/>
    <w:rsid w:val="00AA1DC1"/>
    <w:rsid w:val="00AA1E06"/>
    <w:rsid w:val="00AA49B9"/>
    <w:rsid w:val="00AA50C3"/>
    <w:rsid w:val="00AA5338"/>
    <w:rsid w:val="00AA693A"/>
    <w:rsid w:val="00AA69AD"/>
    <w:rsid w:val="00AA74CD"/>
    <w:rsid w:val="00AB0069"/>
    <w:rsid w:val="00AB1E58"/>
    <w:rsid w:val="00AB28FB"/>
    <w:rsid w:val="00AB5109"/>
    <w:rsid w:val="00AB5229"/>
    <w:rsid w:val="00AB52DE"/>
    <w:rsid w:val="00AB59D3"/>
    <w:rsid w:val="00AB6F74"/>
    <w:rsid w:val="00AB74B7"/>
    <w:rsid w:val="00AB7AEB"/>
    <w:rsid w:val="00AB7BC7"/>
    <w:rsid w:val="00AC14F8"/>
    <w:rsid w:val="00AC2FDF"/>
    <w:rsid w:val="00AC5ED5"/>
    <w:rsid w:val="00AC60E9"/>
    <w:rsid w:val="00AC6CBF"/>
    <w:rsid w:val="00AD1854"/>
    <w:rsid w:val="00AD4FFA"/>
    <w:rsid w:val="00AE1BD1"/>
    <w:rsid w:val="00AE1ECA"/>
    <w:rsid w:val="00AE1F4C"/>
    <w:rsid w:val="00AE4205"/>
    <w:rsid w:val="00AE5429"/>
    <w:rsid w:val="00AE6DE8"/>
    <w:rsid w:val="00AE7750"/>
    <w:rsid w:val="00AF0496"/>
    <w:rsid w:val="00AF1453"/>
    <w:rsid w:val="00AF3EA2"/>
    <w:rsid w:val="00AF44A0"/>
    <w:rsid w:val="00AF64F4"/>
    <w:rsid w:val="00AF6C1E"/>
    <w:rsid w:val="00AF7766"/>
    <w:rsid w:val="00AF7B78"/>
    <w:rsid w:val="00B00BCA"/>
    <w:rsid w:val="00B028A9"/>
    <w:rsid w:val="00B02EA2"/>
    <w:rsid w:val="00B059C4"/>
    <w:rsid w:val="00B0656E"/>
    <w:rsid w:val="00B1098A"/>
    <w:rsid w:val="00B11F4B"/>
    <w:rsid w:val="00B12483"/>
    <w:rsid w:val="00B13889"/>
    <w:rsid w:val="00B1448D"/>
    <w:rsid w:val="00B14A7E"/>
    <w:rsid w:val="00B1533F"/>
    <w:rsid w:val="00B16DF7"/>
    <w:rsid w:val="00B22F33"/>
    <w:rsid w:val="00B30A88"/>
    <w:rsid w:val="00B362A0"/>
    <w:rsid w:val="00B37F28"/>
    <w:rsid w:val="00B411A9"/>
    <w:rsid w:val="00B47E56"/>
    <w:rsid w:val="00B51F48"/>
    <w:rsid w:val="00B563FC"/>
    <w:rsid w:val="00B5706D"/>
    <w:rsid w:val="00B570F3"/>
    <w:rsid w:val="00B5786D"/>
    <w:rsid w:val="00B619B3"/>
    <w:rsid w:val="00B63142"/>
    <w:rsid w:val="00B633D0"/>
    <w:rsid w:val="00B67FCC"/>
    <w:rsid w:val="00B7146B"/>
    <w:rsid w:val="00B71A0F"/>
    <w:rsid w:val="00B74AD6"/>
    <w:rsid w:val="00B755DD"/>
    <w:rsid w:val="00B7644D"/>
    <w:rsid w:val="00B82894"/>
    <w:rsid w:val="00B83121"/>
    <w:rsid w:val="00B83852"/>
    <w:rsid w:val="00B84D2C"/>
    <w:rsid w:val="00B85819"/>
    <w:rsid w:val="00B8662B"/>
    <w:rsid w:val="00B8782B"/>
    <w:rsid w:val="00B93EA3"/>
    <w:rsid w:val="00B93F1A"/>
    <w:rsid w:val="00B94365"/>
    <w:rsid w:val="00B95931"/>
    <w:rsid w:val="00B95CC6"/>
    <w:rsid w:val="00B96383"/>
    <w:rsid w:val="00B973EC"/>
    <w:rsid w:val="00B97667"/>
    <w:rsid w:val="00BA144C"/>
    <w:rsid w:val="00BA2E75"/>
    <w:rsid w:val="00BA504B"/>
    <w:rsid w:val="00BA5651"/>
    <w:rsid w:val="00BA6B98"/>
    <w:rsid w:val="00BA710A"/>
    <w:rsid w:val="00BA783A"/>
    <w:rsid w:val="00BA7A64"/>
    <w:rsid w:val="00BA7F23"/>
    <w:rsid w:val="00BB0C92"/>
    <w:rsid w:val="00BB221F"/>
    <w:rsid w:val="00BB2F61"/>
    <w:rsid w:val="00BB35B2"/>
    <w:rsid w:val="00BB4077"/>
    <w:rsid w:val="00BB46D0"/>
    <w:rsid w:val="00BB46DC"/>
    <w:rsid w:val="00BB6F46"/>
    <w:rsid w:val="00BC0C72"/>
    <w:rsid w:val="00BC21CD"/>
    <w:rsid w:val="00BC3B08"/>
    <w:rsid w:val="00BC3C20"/>
    <w:rsid w:val="00BC407A"/>
    <w:rsid w:val="00BC46EE"/>
    <w:rsid w:val="00BC7F35"/>
    <w:rsid w:val="00BD4E96"/>
    <w:rsid w:val="00BD6094"/>
    <w:rsid w:val="00BE0F7C"/>
    <w:rsid w:val="00BE285C"/>
    <w:rsid w:val="00BE4746"/>
    <w:rsid w:val="00BE6222"/>
    <w:rsid w:val="00BF0201"/>
    <w:rsid w:val="00BF1713"/>
    <w:rsid w:val="00BF196D"/>
    <w:rsid w:val="00BF3029"/>
    <w:rsid w:val="00C013D2"/>
    <w:rsid w:val="00C040ED"/>
    <w:rsid w:val="00C04E1A"/>
    <w:rsid w:val="00C06ED2"/>
    <w:rsid w:val="00C10212"/>
    <w:rsid w:val="00C136DD"/>
    <w:rsid w:val="00C14067"/>
    <w:rsid w:val="00C1482C"/>
    <w:rsid w:val="00C16D8B"/>
    <w:rsid w:val="00C17708"/>
    <w:rsid w:val="00C20055"/>
    <w:rsid w:val="00C20AC8"/>
    <w:rsid w:val="00C2313C"/>
    <w:rsid w:val="00C23B64"/>
    <w:rsid w:val="00C2573C"/>
    <w:rsid w:val="00C2629F"/>
    <w:rsid w:val="00C306C5"/>
    <w:rsid w:val="00C31013"/>
    <w:rsid w:val="00C31675"/>
    <w:rsid w:val="00C32ECB"/>
    <w:rsid w:val="00C33359"/>
    <w:rsid w:val="00C34CCD"/>
    <w:rsid w:val="00C34EDB"/>
    <w:rsid w:val="00C42398"/>
    <w:rsid w:val="00C42E77"/>
    <w:rsid w:val="00C42FBF"/>
    <w:rsid w:val="00C43B03"/>
    <w:rsid w:val="00C478BB"/>
    <w:rsid w:val="00C501E4"/>
    <w:rsid w:val="00C524DF"/>
    <w:rsid w:val="00C53A53"/>
    <w:rsid w:val="00C569DE"/>
    <w:rsid w:val="00C56B89"/>
    <w:rsid w:val="00C6422B"/>
    <w:rsid w:val="00C6502B"/>
    <w:rsid w:val="00C66824"/>
    <w:rsid w:val="00C7101D"/>
    <w:rsid w:val="00C71A5D"/>
    <w:rsid w:val="00C71A8A"/>
    <w:rsid w:val="00C73E91"/>
    <w:rsid w:val="00C7414B"/>
    <w:rsid w:val="00C74552"/>
    <w:rsid w:val="00C750AC"/>
    <w:rsid w:val="00C75358"/>
    <w:rsid w:val="00C756FA"/>
    <w:rsid w:val="00C76807"/>
    <w:rsid w:val="00C827AD"/>
    <w:rsid w:val="00C86C49"/>
    <w:rsid w:val="00C9046E"/>
    <w:rsid w:val="00C91608"/>
    <w:rsid w:val="00C91E8E"/>
    <w:rsid w:val="00C92882"/>
    <w:rsid w:val="00C92E0D"/>
    <w:rsid w:val="00CA0057"/>
    <w:rsid w:val="00CA04C4"/>
    <w:rsid w:val="00CA106A"/>
    <w:rsid w:val="00CA272F"/>
    <w:rsid w:val="00CA3318"/>
    <w:rsid w:val="00CA38D2"/>
    <w:rsid w:val="00CA51E6"/>
    <w:rsid w:val="00CA5A05"/>
    <w:rsid w:val="00CA5B90"/>
    <w:rsid w:val="00CA6692"/>
    <w:rsid w:val="00CA7B30"/>
    <w:rsid w:val="00CB2CD1"/>
    <w:rsid w:val="00CB407E"/>
    <w:rsid w:val="00CB7D8C"/>
    <w:rsid w:val="00CC204B"/>
    <w:rsid w:val="00CC2B02"/>
    <w:rsid w:val="00CC4042"/>
    <w:rsid w:val="00CC457F"/>
    <w:rsid w:val="00CC7111"/>
    <w:rsid w:val="00CD1750"/>
    <w:rsid w:val="00CD1ED5"/>
    <w:rsid w:val="00CD4B2C"/>
    <w:rsid w:val="00CD7811"/>
    <w:rsid w:val="00CD7BE2"/>
    <w:rsid w:val="00CD7E26"/>
    <w:rsid w:val="00CE0D7F"/>
    <w:rsid w:val="00CE1800"/>
    <w:rsid w:val="00CE2BAA"/>
    <w:rsid w:val="00CE2DF7"/>
    <w:rsid w:val="00CE2E87"/>
    <w:rsid w:val="00CE56B8"/>
    <w:rsid w:val="00CE7BF7"/>
    <w:rsid w:val="00CE7ED0"/>
    <w:rsid w:val="00CF595E"/>
    <w:rsid w:val="00CF59F9"/>
    <w:rsid w:val="00CF6C24"/>
    <w:rsid w:val="00CF72A8"/>
    <w:rsid w:val="00CF7479"/>
    <w:rsid w:val="00D04407"/>
    <w:rsid w:val="00D06637"/>
    <w:rsid w:val="00D10FB1"/>
    <w:rsid w:val="00D11524"/>
    <w:rsid w:val="00D131DA"/>
    <w:rsid w:val="00D1442C"/>
    <w:rsid w:val="00D16BF6"/>
    <w:rsid w:val="00D20766"/>
    <w:rsid w:val="00D21E46"/>
    <w:rsid w:val="00D23047"/>
    <w:rsid w:val="00D26196"/>
    <w:rsid w:val="00D30716"/>
    <w:rsid w:val="00D31E52"/>
    <w:rsid w:val="00D3487B"/>
    <w:rsid w:val="00D35FF7"/>
    <w:rsid w:val="00D367A6"/>
    <w:rsid w:val="00D414E9"/>
    <w:rsid w:val="00D4471E"/>
    <w:rsid w:val="00D461CC"/>
    <w:rsid w:val="00D46A79"/>
    <w:rsid w:val="00D471B0"/>
    <w:rsid w:val="00D50E81"/>
    <w:rsid w:val="00D522D6"/>
    <w:rsid w:val="00D52A66"/>
    <w:rsid w:val="00D5303F"/>
    <w:rsid w:val="00D53498"/>
    <w:rsid w:val="00D53FA4"/>
    <w:rsid w:val="00D569F0"/>
    <w:rsid w:val="00D56EF5"/>
    <w:rsid w:val="00D570D2"/>
    <w:rsid w:val="00D573A4"/>
    <w:rsid w:val="00D57CBF"/>
    <w:rsid w:val="00D61B60"/>
    <w:rsid w:val="00D638BD"/>
    <w:rsid w:val="00D6433F"/>
    <w:rsid w:val="00D643D4"/>
    <w:rsid w:val="00D64428"/>
    <w:rsid w:val="00D64922"/>
    <w:rsid w:val="00D6537E"/>
    <w:rsid w:val="00D66646"/>
    <w:rsid w:val="00D672BB"/>
    <w:rsid w:val="00D6769C"/>
    <w:rsid w:val="00D70846"/>
    <w:rsid w:val="00D70F85"/>
    <w:rsid w:val="00D7187C"/>
    <w:rsid w:val="00D731A7"/>
    <w:rsid w:val="00D742A1"/>
    <w:rsid w:val="00D74E0A"/>
    <w:rsid w:val="00D7635B"/>
    <w:rsid w:val="00D76438"/>
    <w:rsid w:val="00D7713C"/>
    <w:rsid w:val="00D77827"/>
    <w:rsid w:val="00D805FA"/>
    <w:rsid w:val="00D812DB"/>
    <w:rsid w:val="00D814B1"/>
    <w:rsid w:val="00D81B0A"/>
    <w:rsid w:val="00D82AC9"/>
    <w:rsid w:val="00D83283"/>
    <w:rsid w:val="00D85E1D"/>
    <w:rsid w:val="00D86AA1"/>
    <w:rsid w:val="00D87BBB"/>
    <w:rsid w:val="00D90B38"/>
    <w:rsid w:val="00D964A7"/>
    <w:rsid w:val="00D9665B"/>
    <w:rsid w:val="00D968AC"/>
    <w:rsid w:val="00DA1621"/>
    <w:rsid w:val="00DA16A0"/>
    <w:rsid w:val="00DA1946"/>
    <w:rsid w:val="00DA3E00"/>
    <w:rsid w:val="00DA422A"/>
    <w:rsid w:val="00DA55EB"/>
    <w:rsid w:val="00DA699B"/>
    <w:rsid w:val="00DB0510"/>
    <w:rsid w:val="00DB079B"/>
    <w:rsid w:val="00DB1EB5"/>
    <w:rsid w:val="00DB5A11"/>
    <w:rsid w:val="00DB5BD1"/>
    <w:rsid w:val="00DC3118"/>
    <w:rsid w:val="00DC5257"/>
    <w:rsid w:val="00DC5DBE"/>
    <w:rsid w:val="00DC60DF"/>
    <w:rsid w:val="00DC6380"/>
    <w:rsid w:val="00DC6C9E"/>
    <w:rsid w:val="00DC7582"/>
    <w:rsid w:val="00DD040F"/>
    <w:rsid w:val="00DD10AB"/>
    <w:rsid w:val="00DD37FC"/>
    <w:rsid w:val="00DD417B"/>
    <w:rsid w:val="00DD5496"/>
    <w:rsid w:val="00DD66A5"/>
    <w:rsid w:val="00DE047A"/>
    <w:rsid w:val="00DE0992"/>
    <w:rsid w:val="00DE2567"/>
    <w:rsid w:val="00DE3ABB"/>
    <w:rsid w:val="00DE6599"/>
    <w:rsid w:val="00DE67D9"/>
    <w:rsid w:val="00DE7403"/>
    <w:rsid w:val="00DE7B5E"/>
    <w:rsid w:val="00DF13EF"/>
    <w:rsid w:val="00DF1E87"/>
    <w:rsid w:val="00DF2238"/>
    <w:rsid w:val="00DF2E32"/>
    <w:rsid w:val="00DF3396"/>
    <w:rsid w:val="00DF63FD"/>
    <w:rsid w:val="00DF6EC2"/>
    <w:rsid w:val="00DF7C82"/>
    <w:rsid w:val="00E00D01"/>
    <w:rsid w:val="00E01895"/>
    <w:rsid w:val="00E01DED"/>
    <w:rsid w:val="00E04715"/>
    <w:rsid w:val="00E057B6"/>
    <w:rsid w:val="00E1059B"/>
    <w:rsid w:val="00E14A5C"/>
    <w:rsid w:val="00E1512E"/>
    <w:rsid w:val="00E17BDE"/>
    <w:rsid w:val="00E17CE2"/>
    <w:rsid w:val="00E34118"/>
    <w:rsid w:val="00E3449A"/>
    <w:rsid w:val="00E361A3"/>
    <w:rsid w:val="00E36E7A"/>
    <w:rsid w:val="00E37981"/>
    <w:rsid w:val="00E404C5"/>
    <w:rsid w:val="00E4311D"/>
    <w:rsid w:val="00E449A2"/>
    <w:rsid w:val="00E4611B"/>
    <w:rsid w:val="00E53112"/>
    <w:rsid w:val="00E537F6"/>
    <w:rsid w:val="00E552EE"/>
    <w:rsid w:val="00E61680"/>
    <w:rsid w:val="00E62DEC"/>
    <w:rsid w:val="00E63485"/>
    <w:rsid w:val="00E641E7"/>
    <w:rsid w:val="00E66EFB"/>
    <w:rsid w:val="00E7266B"/>
    <w:rsid w:val="00E739C2"/>
    <w:rsid w:val="00E73D35"/>
    <w:rsid w:val="00E73E80"/>
    <w:rsid w:val="00E764DA"/>
    <w:rsid w:val="00E800D1"/>
    <w:rsid w:val="00E81840"/>
    <w:rsid w:val="00E83B8F"/>
    <w:rsid w:val="00E84525"/>
    <w:rsid w:val="00E84C09"/>
    <w:rsid w:val="00E84C8A"/>
    <w:rsid w:val="00E85BF6"/>
    <w:rsid w:val="00E86815"/>
    <w:rsid w:val="00E914F6"/>
    <w:rsid w:val="00E9284D"/>
    <w:rsid w:val="00E92AFB"/>
    <w:rsid w:val="00E92E53"/>
    <w:rsid w:val="00EA00CB"/>
    <w:rsid w:val="00EA40FB"/>
    <w:rsid w:val="00EA46A3"/>
    <w:rsid w:val="00EA49D4"/>
    <w:rsid w:val="00EA7A20"/>
    <w:rsid w:val="00EB272B"/>
    <w:rsid w:val="00EC0385"/>
    <w:rsid w:val="00EC2981"/>
    <w:rsid w:val="00EC2FBF"/>
    <w:rsid w:val="00EC32B2"/>
    <w:rsid w:val="00EC35AC"/>
    <w:rsid w:val="00EC38AC"/>
    <w:rsid w:val="00EC4DFC"/>
    <w:rsid w:val="00ED0BC5"/>
    <w:rsid w:val="00ED19AC"/>
    <w:rsid w:val="00ED1B0E"/>
    <w:rsid w:val="00ED3CB6"/>
    <w:rsid w:val="00ED461B"/>
    <w:rsid w:val="00ED4B36"/>
    <w:rsid w:val="00ED4F34"/>
    <w:rsid w:val="00EE18E5"/>
    <w:rsid w:val="00EE1C31"/>
    <w:rsid w:val="00EE1FF8"/>
    <w:rsid w:val="00EE202B"/>
    <w:rsid w:val="00EE2E06"/>
    <w:rsid w:val="00EE30D9"/>
    <w:rsid w:val="00EE4021"/>
    <w:rsid w:val="00EE5C7A"/>
    <w:rsid w:val="00EE7843"/>
    <w:rsid w:val="00EF1BFF"/>
    <w:rsid w:val="00EF4925"/>
    <w:rsid w:val="00EF4CA7"/>
    <w:rsid w:val="00EF5AD4"/>
    <w:rsid w:val="00EF69A6"/>
    <w:rsid w:val="00EF6F37"/>
    <w:rsid w:val="00F020DE"/>
    <w:rsid w:val="00F04268"/>
    <w:rsid w:val="00F04DE7"/>
    <w:rsid w:val="00F0504A"/>
    <w:rsid w:val="00F05707"/>
    <w:rsid w:val="00F059D3"/>
    <w:rsid w:val="00F06E0A"/>
    <w:rsid w:val="00F07987"/>
    <w:rsid w:val="00F1025C"/>
    <w:rsid w:val="00F11CD6"/>
    <w:rsid w:val="00F12774"/>
    <w:rsid w:val="00F12AA8"/>
    <w:rsid w:val="00F12F30"/>
    <w:rsid w:val="00F15D76"/>
    <w:rsid w:val="00F15F5C"/>
    <w:rsid w:val="00F2089A"/>
    <w:rsid w:val="00F20A5A"/>
    <w:rsid w:val="00F22FEB"/>
    <w:rsid w:val="00F25229"/>
    <w:rsid w:val="00F25F03"/>
    <w:rsid w:val="00F26101"/>
    <w:rsid w:val="00F3027D"/>
    <w:rsid w:val="00F3094C"/>
    <w:rsid w:val="00F30C19"/>
    <w:rsid w:val="00F3177D"/>
    <w:rsid w:val="00F34C46"/>
    <w:rsid w:val="00F3573D"/>
    <w:rsid w:val="00F42492"/>
    <w:rsid w:val="00F42DE5"/>
    <w:rsid w:val="00F43CE6"/>
    <w:rsid w:val="00F4533F"/>
    <w:rsid w:val="00F462DA"/>
    <w:rsid w:val="00F46363"/>
    <w:rsid w:val="00F51DBA"/>
    <w:rsid w:val="00F52196"/>
    <w:rsid w:val="00F52B43"/>
    <w:rsid w:val="00F56874"/>
    <w:rsid w:val="00F60EB5"/>
    <w:rsid w:val="00F61DE1"/>
    <w:rsid w:val="00F639FA"/>
    <w:rsid w:val="00F665E6"/>
    <w:rsid w:val="00F703BF"/>
    <w:rsid w:val="00F724A4"/>
    <w:rsid w:val="00F749F6"/>
    <w:rsid w:val="00F75ACA"/>
    <w:rsid w:val="00F75B6F"/>
    <w:rsid w:val="00F80437"/>
    <w:rsid w:val="00F80A9A"/>
    <w:rsid w:val="00F833FF"/>
    <w:rsid w:val="00F85453"/>
    <w:rsid w:val="00F86FD3"/>
    <w:rsid w:val="00F90E9E"/>
    <w:rsid w:val="00F92691"/>
    <w:rsid w:val="00F93AB0"/>
    <w:rsid w:val="00F944CB"/>
    <w:rsid w:val="00FA0F0E"/>
    <w:rsid w:val="00FA1F11"/>
    <w:rsid w:val="00FA3CD4"/>
    <w:rsid w:val="00FA465E"/>
    <w:rsid w:val="00FA5B17"/>
    <w:rsid w:val="00FB1583"/>
    <w:rsid w:val="00FB173E"/>
    <w:rsid w:val="00FB2901"/>
    <w:rsid w:val="00FB4B2D"/>
    <w:rsid w:val="00FB60B6"/>
    <w:rsid w:val="00FB642F"/>
    <w:rsid w:val="00FC05F6"/>
    <w:rsid w:val="00FC250F"/>
    <w:rsid w:val="00FC2933"/>
    <w:rsid w:val="00FC328C"/>
    <w:rsid w:val="00FC3E7F"/>
    <w:rsid w:val="00FC6C4C"/>
    <w:rsid w:val="00FC7DB3"/>
    <w:rsid w:val="00FD0A5B"/>
    <w:rsid w:val="00FD1436"/>
    <w:rsid w:val="00FD1C91"/>
    <w:rsid w:val="00FD1E95"/>
    <w:rsid w:val="00FD4EA0"/>
    <w:rsid w:val="00FD54A7"/>
    <w:rsid w:val="00FD71A0"/>
    <w:rsid w:val="00FD7C47"/>
    <w:rsid w:val="00FE1513"/>
    <w:rsid w:val="00FE4161"/>
    <w:rsid w:val="00FE4A80"/>
    <w:rsid w:val="00FE7A77"/>
    <w:rsid w:val="00FF15C0"/>
    <w:rsid w:val="00FF161E"/>
    <w:rsid w:val="00FF23D3"/>
    <w:rsid w:val="00FF313A"/>
    <w:rsid w:val="00FF423C"/>
    <w:rsid w:val="00FF5319"/>
    <w:rsid w:val="00FF56E9"/>
    <w:rsid w:val="00FF6586"/>
    <w:rsid w:val="01024698"/>
    <w:rsid w:val="01027F49"/>
    <w:rsid w:val="011425CD"/>
    <w:rsid w:val="01180C15"/>
    <w:rsid w:val="012771D2"/>
    <w:rsid w:val="01423C7B"/>
    <w:rsid w:val="017019E4"/>
    <w:rsid w:val="01967074"/>
    <w:rsid w:val="01B1428B"/>
    <w:rsid w:val="01B8506E"/>
    <w:rsid w:val="01D05BC6"/>
    <w:rsid w:val="01D7043C"/>
    <w:rsid w:val="01EB3D77"/>
    <w:rsid w:val="01F22021"/>
    <w:rsid w:val="01F71554"/>
    <w:rsid w:val="01FB70AA"/>
    <w:rsid w:val="022A797D"/>
    <w:rsid w:val="02496EF0"/>
    <w:rsid w:val="025653FE"/>
    <w:rsid w:val="0259297E"/>
    <w:rsid w:val="026954E1"/>
    <w:rsid w:val="027B34B7"/>
    <w:rsid w:val="02930B15"/>
    <w:rsid w:val="02B23D24"/>
    <w:rsid w:val="02ED7EC0"/>
    <w:rsid w:val="03006A10"/>
    <w:rsid w:val="03065FE8"/>
    <w:rsid w:val="030D61A2"/>
    <w:rsid w:val="03182851"/>
    <w:rsid w:val="03372F7C"/>
    <w:rsid w:val="03375A38"/>
    <w:rsid w:val="03441DDE"/>
    <w:rsid w:val="03466BA1"/>
    <w:rsid w:val="034C6ABF"/>
    <w:rsid w:val="0352248E"/>
    <w:rsid w:val="037D2A57"/>
    <w:rsid w:val="038D0B66"/>
    <w:rsid w:val="038F579F"/>
    <w:rsid w:val="03907BA9"/>
    <w:rsid w:val="03A412D7"/>
    <w:rsid w:val="03B469DB"/>
    <w:rsid w:val="03B842B2"/>
    <w:rsid w:val="03C70C13"/>
    <w:rsid w:val="03CA2033"/>
    <w:rsid w:val="03CF26F4"/>
    <w:rsid w:val="03E854D3"/>
    <w:rsid w:val="03F93CD2"/>
    <w:rsid w:val="03FF3EF7"/>
    <w:rsid w:val="040260F5"/>
    <w:rsid w:val="040812BC"/>
    <w:rsid w:val="041D35CE"/>
    <w:rsid w:val="042D7FC0"/>
    <w:rsid w:val="04703FEF"/>
    <w:rsid w:val="047E5760"/>
    <w:rsid w:val="04B20006"/>
    <w:rsid w:val="04C45999"/>
    <w:rsid w:val="04D930FE"/>
    <w:rsid w:val="04DB695E"/>
    <w:rsid w:val="04DE2BDD"/>
    <w:rsid w:val="04DF5000"/>
    <w:rsid w:val="04EB7642"/>
    <w:rsid w:val="04EC3FF2"/>
    <w:rsid w:val="04EE6C9F"/>
    <w:rsid w:val="04F61CA7"/>
    <w:rsid w:val="04F76054"/>
    <w:rsid w:val="05055099"/>
    <w:rsid w:val="05466D3E"/>
    <w:rsid w:val="055A3264"/>
    <w:rsid w:val="05684E8C"/>
    <w:rsid w:val="058D7EE3"/>
    <w:rsid w:val="05931994"/>
    <w:rsid w:val="059B1DB4"/>
    <w:rsid w:val="059B2FE6"/>
    <w:rsid w:val="05AA3CF0"/>
    <w:rsid w:val="05AA602F"/>
    <w:rsid w:val="05B25FEF"/>
    <w:rsid w:val="05C91261"/>
    <w:rsid w:val="05E7651C"/>
    <w:rsid w:val="05F07FDE"/>
    <w:rsid w:val="05F40655"/>
    <w:rsid w:val="060B7796"/>
    <w:rsid w:val="062B4D5A"/>
    <w:rsid w:val="06755038"/>
    <w:rsid w:val="067940BE"/>
    <w:rsid w:val="06797767"/>
    <w:rsid w:val="067D3525"/>
    <w:rsid w:val="06800B42"/>
    <w:rsid w:val="06926F46"/>
    <w:rsid w:val="069644EA"/>
    <w:rsid w:val="06975BEC"/>
    <w:rsid w:val="06A41582"/>
    <w:rsid w:val="06AB0706"/>
    <w:rsid w:val="06B13749"/>
    <w:rsid w:val="06B83C20"/>
    <w:rsid w:val="06BF5DD8"/>
    <w:rsid w:val="06C1692C"/>
    <w:rsid w:val="06C55463"/>
    <w:rsid w:val="06D97C96"/>
    <w:rsid w:val="06E77363"/>
    <w:rsid w:val="06F32D00"/>
    <w:rsid w:val="07065D87"/>
    <w:rsid w:val="071E2BC5"/>
    <w:rsid w:val="072A10F7"/>
    <w:rsid w:val="073A5BF8"/>
    <w:rsid w:val="073C6EE2"/>
    <w:rsid w:val="073F3A16"/>
    <w:rsid w:val="075C38CC"/>
    <w:rsid w:val="077C3DDF"/>
    <w:rsid w:val="07AC36E0"/>
    <w:rsid w:val="07AC745D"/>
    <w:rsid w:val="07DE2D45"/>
    <w:rsid w:val="07E0100D"/>
    <w:rsid w:val="07E03FAD"/>
    <w:rsid w:val="07E235BD"/>
    <w:rsid w:val="08034488"/>
    <w:rsid w:val="080E0B85"/>
    <w:rsid w:val="08387A90"/>
    <w:rsid w:val="083F3627"/>
    <w:rsid w:val="084215B0"/>
    <w:rsid w:val="085A53B0"/>
    <w:rsid w:val="08731851"/>
    <w:rsid w:val="087C1603"/>
    <w:rsid w:val="087D1A99"/>
    <w:rsid w:val="08AD4A10"/>
    <w:rsid w:val="08D04E43"/>
    <w:rsid w:val="08D16B18"/>
    <w:rsid w:val="08D60681"/>
    <w:rsid w:val="08D73BC0"/>
    <w:rsid w:val="08D84128"/>
    <w:rsid w:val="08DE755B"/>
    <w:rsid w:val="08E849CF"/>
    <w:rsid w:val="08EA5191"/>
    <w:rsid w:val="09006B0C"/>
    <w:rsid w:val="090E1C97"/>
    <w:rsid w:val="09256361"/>
    <w:rsid w:val="09690016"/>
    <w:rsid w:val="09750ECD"/>
    <w:rsid w:val="097D1872"/>
    <w:rsid w:val="09A66F10"/>
    <w:rsid w:val="09C644D9"/>
    <w:rsid w:val="09F012B0"/>
    <w:rsid w:val="0A101813"/>
    <w:rsid w:val="0A17516D"/>
    <w:rsid w:val="0A523DF4"/>
    <w:rsid w:val="0A5273E0"/>
    <w:rsid w:val="0A5F52F1"/>
    <w:rsid w:val="0A645F34"/>
    <w:rsid w:val="0A777B88"/>
    <w:rsid w:val="0A937AFE"/>
    <w:rsid w:val="0A9D6A26"/>
    <w:rsid w:val="0AD5762B"/>
    <w:rsid w:val="0ADB6D8A"/>
    <w:rsid w:val="0AEB4090"/>
    <w:rsid w:val="0AF85918"/>
    <w:rsid w:val="0AFA2D49"/>
    <w:rsid w:val="0AFE4E50"/>
    <w:rsid w:val="0B2235F8"/>
    <w:rsid w:val="0B543546"/>
    <w:rsid w:val="0B5A03F7"/>
    <w:rsid w:val="0B5F56D3"/>
    <w:rsid w:val="0B6F7259"/>
    <w:rsid w:val="0B8108BB"/>
    <w:rsid w:val="0B8F5E39"/>
    <w:rsid w:val="0B9930F7"/>
    <w:rsid w:val="0B9971E6"/>
    <w:rsid w:val="0BB11FB3"/>
    <w:rsid w:val="0BC84AA9"/>
    <w:rsid w:val="0BCB15F9"/>
    <w:rsid w:val="0BDA146D"/>
    <w:rsid w:val="0BDD22FF"/>
    <w:rsid w:val="0BE3566E"/>
    <w:rsid w:val="0BEF5C35"/>
    <w:rsid w:val="0C144F98"/>
    <w:rsid w:val="0C303775"/>
    <w:rsid w:val="0C5B0BCA"/>
    <w:rsid w:val="0C6714AD"/>
    <w:rsid w:val="0C750928"/>
    <w:rsid w:val="0C7B5E64"/>
    <w:rsid w:val="0C9D2FAD"/>
    <w:rsid w:val="0CA81820"/>
    <w:rsid w:val="0CA83224"/>
    <w:rsid w:val="0CC3514A"/>
    <w:rsid w:val="0D00476F"/>
    <w:rsid w:val="0D0E1192"/>
    <w:rsid w:val="0D236B5C"/>
    <w:rsid w:val="0D476C74"/>
    <w:rsid w:val="0D490F72"/>
    <w:rsid w:val="0D4B3D32"/>
    <w:rsid w:val="0D5A4493"/>
    <w:rsid w:val="0D5C752C"/>
    <w:rsid w:val="0D6A13E6"/>
    <w:rsid w:val="0D702A8B"/>
    <w:rsid w:val="0D744CBB"/>
    <w:rsid w:val="0D973403"/>
    <w:rsid w:val="0D9F541C"/>
    <w:rsid w:val="0DA23E60"/>
    <w:rsid w:val="0DAE14D9"/>
    <w:rsid w:val="0DAF2DEF"/>
    <w:rsid w:val="0DBC071E"/>
    <w:rsid w:val="0DC0154C"/>
    <w:rsid w:val="0DCE0E60"/>
    <w:rsid w:val="0DDD13AB"/>
    <w:rsid w:val="0DE0656F"/>
    <w:rsid w:val="0DE57295"/>
    <w:rsid w:val="0E141773"/>
    <w:rsid w:val="0E1D1B4A"/>
    <w:rsid w:val="0E2407F5"/>
    <w:rsid w:val="0E2B13AD"/>
    <w:rsid w:val="0E323A08"/>
    <w:rsid w:val="0E42059F"/>
    <w:rsid w:val="0E4E761C"/>
    <w:rsid w:val="0E5312A8"/>
    <w:rsid w:val="0E5F722B"/>
    <w:rsid w:val="0E6E70F3"/>
    <w:rsid w:val="0E7E652E"/>
    <w:rsid w:val="0E9340B0"/>
    <w:rsid w:val="0E95796B"/>
    <w:rsid w:val="0E990E67"/>
    <w:rsid w:val="0EC6532D"/>
    <w:rsid w:val="0EDB407F"/>
    <w:rsid w:val="0F15040D"/>
    <w:rsid w:val="0F1A125C"/>
    <w:rsid w:val="0F275EFA"/>
    <w:rsid w:val="0F2A2013"/>
    <w:rsid w:val="0F363AC3"/>
    <w:rsid w:val="0F525391"/>
    <w:rsid w:val="0F6444F1"/>
    <w:rsid w:val="0F755953"/>
    <w:rsid w:val="0F9010D5"/>
    <w:rsid w:val="0F91334D"/>
    <w:rsid w:val="0F9748BB"/>
    <w:rsid w:val="0F9E51D9"/>
    <w:rsid w:val="0FA5177B"/>
    <w:rsid w:val="0FBC4B6C"/>
    <w:rsid w:val="0FD53369"/>
    <w:rsid w:val="0FD553DF"/>
    <w:rsid w:val="0FDD659B"/>
    <w:rsid w:val="0FEF37D0"/>
    <w:rsid w:val="0FFC27A5"/>
    <w:rsid w:val="10177B2B"/>
    <w:rsid w:val="1034288E"/>
    <w:rsid w:val="10385708"/>
    <w:rsid w:val="104F74A9"/>
    <w:rsid w:val="10507079"/>
    <w:rsid w:val="107D3DF1"/>
    <w:rsid w:val="107D763E"/>
    <w:rsid w:val="108C3792"/>
    <w:rsid w:val="10A85CE0"/>
    <w:rsid w:val="10B53F3E"/>
    <w:rsid w:val="10C44CA2"/>
    <w:rsid w:val="10EC4F6A"/>
    <w:rsid w:val="10F873F9"/>
    <w:rsid w:val="10FF1270"/>
    <w:rsid w:val="111F0BEF"/>
    <w:rsid w:val="111F437E"/>
    <w:rsid w:val="113F704E"/>
    <w:rsid w:val="114B2B01"/>
    <w:rsid w:val="114D287F"/>
    <w:rsid w:val="115242E3"/>
    <w:rsid w:val="116C3898"/>
    <w:rsid w:val="117C7D56"/>
    <w:rsid w:val="117D45BE"/>
    <w:rsid w:val="119257B7"/>
    <w:rsid w:val="11990F0C"/>
    <w:rsid w:val="11A57A3E"/>
    <w:rsid w:val="11AB00E0"/>
    <w:rsid w:val="11AF195A"/>
    <w:rsid w:val="11BB5482"/>
    <w:rsid w:val="11BC24EC"/>
    <w:rsid w:val="11DC788B"/>
    <w:rsid w:val="11EB497A"/>
    <w:rsid w:val="11F67AA7"/>
    <w:rsid w:val="11FC0532"/>
    <w:rsid w:val="120420AD"/>
    <w:rsid w:val="120E7149"/>
    <w:rsid w:val="12142AF1"/>
    <w:rsid w:val="12233263"/>
    <w:rsid w:val="12273318"/>
    <w:rsid w:val="12455E44"/>
    <w:rsid w:val="12553E78"/>
    <w:rsid w:val="127F1456"/>
    <w:rsid w:val="128830A4"/>
    <w:rsid w:val="129D1B37"/>
    <w:rsid w:val="12A714DB"/>
    <w:rsid w:val="12A71B1B"/>
    <w:rsid w:val="12B32317"/>
    <w:rsid w:val="12C32850"/>
    <w:rsid w:val="12EA2AD7"/>
    <w:rsid w:val="12F45BE9"/>
    <w:rsid w:val="12F82D37"/>
    <w:rsid w:val="13060F6D"/>
    <w:rsid w:val="130F6E0C"/>
    <w:rsid w:val="131B460B"/>
    <w:rsid w:val="13370B09"/>
    <w:rsid w:val="133E2A57"/>
    <w:rsid w:val="134D1761"/>
    <w:rsid w:val="13825C11"/>
    <w:rsid w:val="13836D47"/>
    <w:rsid w:val="13883E62"/>
    <w:rsid w:val="13972943"/>
    <w:rsid w:val="13DB5B12"/>
    <w:rsid w:val="1402533C"/>
    <w:rsid w:val="1403236B"/>
    <w:rsid w:val="14070A9A"/>
    <w:rsid w:val="140C0FA6"/>
    <w:rsid w:val="14102D4E"/>
    <w:rsid w:val="14102E30"/>
    <w:rsid w:val="1420505E"/>
    <w:rsid w:val="14212B75"/>
    <w:rsid w:val="14234E51"/>
    <w:rsid w:val="14391507"/>
    <w:rsid w:val="145906D1"/>
    <w:rsid w:val="146B79D1"/>
    <w:rsid w:val="14741860"/>
    <w:rsid w:val="147D081B"/>
    <w:rsid w:val="148309A5"/>
    <w:rsid w:val="14880E30"/>
    <w:rsid w:val="148B5335"/>
    <w:rsid w:val="148C1881"/>
    <w:rsid w:val="149D7A10"/>
    <w:rsid w:val="149F5A54"/>
    <w:rsid w:val="14A513D5"/>
    <w:rsid w:val="14A56BA5"/>
    <w:rsid w:val="14A64BCF"/>
    <w:rsid w:val="14B545B5"/>
    <w:rsid w:val="14C95269"/>
    <w:rsid w:val="14DC02EE"/>
    <w:rsid w:val="14DE599F"/>
    <w:rsid w:val="14E804E7"/>
    <w:rsid w:val="15292B01"/>
    <w:rsid w:val="156D55FE"/>
    <w:rsid w:val="15934A10"/>
    <w:rsid w:val="159B1798"/>
    <w:rsid w:val="15AA3A52"/>
    <w:rsid w:val="15B737FA"/>
    <w:rsid w:val="15C7755E"/>
    <w:rsid w:val="15CA6424"/>
    <w:rsid w:val="15EC1536"/>
    <w:rsid w:val="15F30239"/>
    <w:rsid w:val="16063A80"/>
    <w:rsid w:val="16224800"/>
    <w:rsid w:val="16274B7D"/>
    <w:rsid w:val="165E154C"/>
    <w:rsid w:val="167045FA"/>
    <w:rsid w:val="16767FD1"/>
    <w:rsid w:val="16930267"/>
    <w:rsid w:val="1697770B"/>
    <w:rsid w:val="16984B18"/>
    <w:rsid w:val="16A318F4"/>
    <w:rsid w:val="16C5422E"/>
    <w:rsid w:val="16C73DAC"/>
    <w:rsid w:val="16CB4BF5"/>
    <w:rsid w:val="16E164E1"/>
    <w:rsid w:val="16E9046D"/>
    <w:rsid w:val="16EF298A"/>
    <w:rsid w:val="16F51A8D"/>
    <w:rsid w:val="16F64611"/>
    <w:rsid w:val="1707497E"/>
    <w:rsid w:val="17142BDE"/>
    <w:rsid w:val="171602B9"/>
    <w:rsid w:val="17426402"/>
    <w:rsid w:val="17533543"/>
    <w:rsid w:val="17644C10"/>
    <w:rsid w:val="178473BF"/>
    <w:rsid w:val="17AE7F16"/>
    <w:rsid w:val="17B25849"/>
    <w:rsid w:val="17B303EF"/>
    <w:rsid w:val="17B81643"/>
    <w:rsid w:val="17BC775D"/>
    <w:rsid w:val="17CE6730"/>
    <w:rsid w:val="17D95749"/>
    <w:rsid w:val="17F816D5"/>
    <w:rsid w:val="18025DD8"/>
    <w:rsid w:val="180D569C"/>
    <w:rsid w:val="18125D9B"/>
    <w:rsid w:val="18194D91"/>
    <w:rsid w:val="1833174D"/>
    <w:rsid w:val="1862279C"/>
    <w:rsid w:val="186A0F16"/>
    <w:rsid w:val="187F006D"/>
    <w:rsid w:val="188045FA"/>
    <w:rsid w:val="188C17A5"/>
    <w:rsid w:val="188F71EE"/>
    <w:rsid w:val="18AB2543"/>
    <w:rsid w:val="18AF688A"/>
    <w:rsid w:val="18F047E0"/>
    <w:rsid w:val="18FD0D93"/>
    <w:rsid w:val="19053184"/>
    <w:rsid w:val="19095ECD"/>
    <w:rsid w:val="190E47B1"/>
    <w:rsid w:val="190F2E3F"/>
    <w:rsid w:val="191B40F1"/>
    <w:rsid w:val="191F6F76"/>
    <w:rsid w:val="193D6ED0"/>
    <w:rsid w:val="19534A17"/>
    <w:rsid w:val="196A0E4F"/>
    <w:rsid w:val="197C1A7F"/>
    <w:rsid w:val="19A334FA"/>
    <w:rsid w:val="19F223E2"/>
    <w:rsid w:val="1A001A1F"/>
    <w:rsid w:val="1A252EA3"/>
    <w:rsid w:val="1A2C7099"/>
    <w:rsid w:val="1A4666DC"/>
    <w:rsid w:val="1A5D295E"/>
    <w:rsid w:val="1A680B62"/>
    <w:rsid w:val="1A7E70D6"/>
    <w:rsid w:val="1A8A561A"/>
    <w:rsid w:val="1A9971FA"/>
    <w:rsid w:val="1AA443E2"/>
    <w:rsid w:val="1ACE757E"/>
    <w:rsid w:val="1AE42DAD"/>
    <w:rsid w:val="1AF66B61"/>
    <w:rsid w:val="1AF77F84"/>
    <w:rsid w:val="1AFB5530"/>
    <w:rsid w:val="1B0325F1"/>
    <w:rsid w:val="1B09713C"/>
    <w:rsid w:val="1B124BB8"/>
    <w:rsid w:val="1B1A3B56"/>
    <w:rsid w:val="1B265798"/>
    <w:rsid w:val="1B427AF2"/>
    <w:rsid w:val="1B474AC7"/>
    <w:rsid w:val="1B4C2DFD"/>
    <w:rsid w:val="1B522514"/>
    <w:rsid w:val="1B59529E"/>
    <w:rsid w:val="1B5A1E6B"/>
    <w:rsid w:val="1B662CD0"/>
    <w:rsid w:val="1B6760A2"/>
    <w:rsid w:val="1B795DB7"/>
    <w:rsid w:val="1B817B1D"/>
    <w:rsid w:val="1B8B4BAD"/>
    <w:rsid w:val="1B960D24"/>
    <w:rsid w:val="1B9B161D"/>
    <w:rsid w:val="1B9D2C7E"/>
    <w:rsid w:val="1BB56AB3"/>
    <w:rsid w:val="1BC17492"/>
    <w:rsid w:val="1BD01C81"/>
    <w:rsid w:val="1BF01DFA"/>
    <w:rsid w:val="1C081DE2"/>
    <w:rsid w:val="1C3033AD"/>
    <w:rsid w:val="1C47782F"/>
    <w:rsid w:val="1C581DDC"/>
    <w:rsid w:val="1C5C2ED1"/>
    <w:rsid w:val="1C5E0502"/>
    <w:rsid w:val="1C6375AA"/>
    <w:rsid w:val="1C813D1D"/>
    <w:rsid w:val="1C8A7AA3"/>
    <w:rsid w:val="1C9D751F"/>
    <w:rsid w:val="1CAB604E"/>
    <w:rsid w:val="1CC47A30"/>
    <w:rsid w:val="1CD9523F"/>
    <w:rsid w:val="1CDE07C7"/>
    <w:rsid w:val="1CE72F79"/>
    <w:rsid w:val="1D052B8E"/>
    <w:rsid w:val="1D0741A5"/>
    <w:rsid w:val="1D180B6B"/>
    <w:rsid w:val="1D694784"/>
    <w:rsid w:val="1D9632D5"/>
    <w:rsid w:val="1DED300A"/>
    <w:rsid w:val="1DF806CD"/>
    <w:rsid w:val="1E1A6440"/>
    <w:rsid w:val="1E451A1C"/>
    <w:rsid w:val="1E501F92"/>
    <w:rsid w:val="1E510588"/>
    <w:rsid w:val="1E5F533E"/>
    <w:rsid w:val="1E6D5976"/>
    <w:rsid w:val="1E7104D2"/>
    <w:rsid w:val="1E855342"/>
    <w:rsid w:val="1EB1591C"/>
    <w:rsid w:val="1EB777A9"/>
    <w:rsid w:val="1EB96517"/>
    <w:rsid w:val="1EF851B7"/>
    <w:rsid w:val="1F005522"/>
    <w:rsid w:val="1F0C347D"/>
    <w:rsid w:val="1F140103"/>
    <w:rsid w:val="1F1A4B5D"/>
    <w:rsid w:val="1F1C776F"/>
    <w:rsid w:val="1F2A74C7"/>
    <w:rsid w:val="1F522CA7"/>
    <w:rsid w:val="1F5954DD"/>
    <w:rsid w:val="1F620D4A"/>
    <w:rsid w:val="1F6429B8"/>
    <w:rsid w:val="1F65577C"/>
    <w:rsid w:val="1F79327E"/>
    <w:rsid w:val="1F88247B"/>
    <w:rsid w:val="1F8C4655"/>
    <w:rsid w:val="1F9C0688"/>
    <w:rsid w:val="1F9C3043"/>
    <w:rsid w:val="1F9F19D1"/>
    <w:rsid w:val="1FAE092B"/>
    <w:rsid w:val="1FC0409C"/>
    <w:rsid w:val="1FC23D10"/>
    <w:rsid w:val="1FCA7B80"/>
    <w:rsid w:val="1FD71BCA"/>
    <w:rsid w:val="1FDE20C8"/>
    <w:rsid w:val="1FE71CC7"/>
    <w:rsid w:val="1FEB3F07"/>
    <w:rsid w:val="1FF763AC"/>
    <w:rsid w:val="1FFB4882"/>
    <w:rsid w:val="2002028E"/>
    <w:rsid w:val="201433C1"/>
    <w:rsid w:val="202F00EC"/>
    <w:rsid w:val="2034456B"/>
    <w:rsid w:val="20353FE0"/>
    <w:rsid w:val="20392ED5"/>
    <w:rsid w:val="204C5A06"/>
    <w:rsid w:val="205765BD"/>
    <w:rsid w:val="20587A88"/>
    <w:rsid w:val="20697814"/>
    <w:rsid w:val="206D136E"/>
    <w:rsid w:val="20773100"/>
    <w:rsid w:val="20786FFF"/>
    <w:rsid w:val="20AA1E1E"/>
    <w:rsid w:val="20B26245"/>
    <w:rsid w:val="20B72E1A"/>
    <w:rsid w:val="20BD2C36"/>
    <w:rsid w:val="20EB5595"/>
    <w:rsid w:val="20FB7199"/>
    <w:rsid w:val="21034858"/>
    <w:rsid w:val="21090FB9"/>
    <w:rsid w:val="21452EC4"/>
    <w:rsid w:val="21592A60"/>
    <w:rsid w:val="215A077F"/>
    <w:rsid w:val="215A62A5"/>
    <w:rsid w:val="216421C6"/>
    <w:rsid w:val="21693934"/>
    <w:rsid w:val="216C2217"/>
    <w:rsid w:val="21826C22"/>
    <w:rsid w:val="2191427E"/>
    <w:rsid w:val="2194437D"/>
    <w:rsid w:val="21AA6BD4"/>
    <w:rsid w:val="21CC4E79"/>
    <w:rsid w:val="21D110DA"/>
    <w:rsid w:val="21E533E4"/>
    <w:rsid w:val="21F57F70"/>
    <w:rsid w:val="21FB4AE2"/>
    <w:rsid w:val="22085CB0"/>
    <w:rsid w:val="221042E7"/>
    <w:rsid w:val="22277B65"/>
    <w:rsid w:val="22340C77"/>
    <w:rsid w:val="223B3FE3"/>
    <w:rsid w:val="224001F6"/>
    <w:rsid w:val="22471A42"/>
    <w:rsid w:val="22653F31"/>
    <w:rsid w:val="227D5AEB"/>
    <w:rsid w:val="22937D39"/>
    <w:rsid w:val="22963643"/>
    <w:rsid w:val="229D70FB"/>
    <w:rsid w:val="22AC3858"/>
    <w:rsid w:val="22B575F2"/>
    <w:rsid w:val="22B67A25"/>
    <w:rsid w:val="22B85709"/>
    <w:rsid w:val="22D043F4"/>
    <w:rsid w:val="22D5623C"/>
    <w:rsid w:val="22D61FFA"/>
    <w:rsid w:val="22ED4FC5"/>
    <w:rsid w:val="230F11C9"/>
    <w:rsid w:val="23165422"/>
    <w:rsid w:val="232B3B92"/>
    <w:rsid w:val="23307B1C"/>
    <w:rsid w:val="234555AE"/>
    <w:rsid w:val="234F0624"/>
    <w:rsid w:val="2380760A"/>
    <w:rsid w:val="23816E5D"/>
    <w:rsid w:val="238C7536"/>
    <w:rsid w:val="239E78DA"/>
    <w:rsid w:val="23A4720B"/>
    <w:rsid w:val="23A80376"/>
    <w:rsid w:val="23DA4CEC"/>
    <w:rsid w:val="24072FE9"/>
    <w:rsid w:val="2417530D"/>
    <w:rsid w:val="241A2378"/>
    <w:rsid w:val="24246B13"/>
    <w:rsid w:val="242D2127"/>
    <w:rsid w:val="242E2E7D"/>
    <w:rsid w:val="243B11AA"/>
    <w:rsid w:val="244A3F52"/>
    <w:rsid w:val="244C2F84"/>
    <w:rsid w:val="244E5970"/>
    <w:rsid w:val="245C07A6"/>
    <w:rsid w:val="246B4288"/>
    <w:rsid w:val="24930ABA"/>
    <w:rsid w:val="249C1105"/>
    <w:rsid w:val="249F2141"/>
    <w:rsid w:val="24A361D8"/>
    <w:rsid w:val="24BE6B1B"/>
    <w:rsid w:val="2500362B"/>
    <w:rsid w:val="25181A3D"/>
    <w:rsid w:val="251F664D"/>
    <w:rsid w:val="25751A46"/>
    <w:rsid w:val="25A9575A"/>
    <w:rsid w:val="25AF0A89"/>
    <w:rsid w:val="25B2778B"/>
    <w:rsid w:val="25B608C1"/>
    <w:rsid w:val="25BE2FCB"/>
    <w:rsid w:val="25DC7687"/>
    <w:rsid w:val="25F5667D"/>
    <w:rsid w:val="2600297F"/>
    <w:rsid w:val="260D5990"/>
    <w:rsid w:val="26290C9A"/>
    <w:rsid w:val="262B3C40"/>
    <w:rsid w:val="26306AC9"/>
    <w:rsid w:val="2640462A"/>
    <w:rsid w:val="26413A67"/>
    <w:rsid w:val="265149C5"/>
    <w:rsid w:val="268575E9"/>
    <w:rsid w:val="2691648A"/>
    <w:rsid w:val="26936BFB"/>
    <w:rsid w:val="26AB6A47"/>
    <w:rsid w:val="26AF4C5F"/>
    <w:rsid w:val="26E1123A"/>
    <w:rsid w:val="26ED0377"/>
    <w:rsid w:val="2701026C"/>
    <w:rsid w:val="27051D6D"/>
    <w:rsid w:val="270737CD"/>
    <w:rsid w:val="27104473"/>
    <w:rsid w:val="27166437"/>
    <w:rsid w:val="27200295"/>
    <w:rsid w:val="272A56AE"/>
    <w:rsid w:val="273C78BF"/>
    <w:rsid w:val="27485B7D"/>
    <w:rsid w:val="27644345"/>
    <w:rsid w:val="2766001E"/>
    <w:rsid w:val="27675F58"/>
    <w:rsid w:val="277B0191"/>
    <w:rsid w:val="27BE3DA5"/>
    <w:rsid w:val="27C92B7C"/>
    <w:rsid w:val="27C94543"/>
    <w:rsid w:val="27CA6AEA"/>
    <w:rsid w:val="27D36DAA"/>
    <w:rsid w:val="27D61E50"/>
    <w:rsid w:val="27E11332"/>
    <w:rsid w:val="27F70A0E"/>
    <w:rsid w:val="28101CAA"/>
    <w:rsid w:val="282C7E3B"/>
    <w:rsid w:val="28360F7F"/>
    <w:rsid w:val="2838231F"/>
    <w:rsid w:val="283B7F9B"/>
    <w:rsid w:val="283D0EAB"/>
    <w:rsid w:val="283F29B8"/>
    <w:rsid w:val="28710951"/>
    <w:rsid w:val="288631D7"/>
    <w:rsid w:val="288A060D"/>
    <w:rsid w:val="289B7FEB"/>
    <w:rsid w:val="289E7886"/>
    <w:rsid w:val="28AA5CBE"/>
    <w:rsid w:val="28BF56D2"/>
    <w:rsid w:val="28C661B8"/>
    <w:rsid w:val="28CC3A13"/>
    <w:rsid w:val="28EB3519"/>
    <w:rsid w:val="290963D0"/>
    <w:rsid w:val="291C00DF"/>
    <w:rsid w:val="293B051C"/>
    <w:rsid w:val="29494B17"/>
    <w:rsid w:val="296239B9"/>
    <w:rsid w:val="29646924"/>
    <w:rsid w:val="29700DAB"/>
    <w:rsid w:val="297237C2"/>
    <w:rsid w:val="29756E0F"/>
    <w:rsid w:val="299E2413"/>
    <w:rsid w:val="29A004F0"/>
    <w:rsid w:val="29A90060"/>
    <w:rsid w:val="29D90BA7"/>
    <w:rsid w:val="2A0538B1"/>
    <w:rsid w:val="2A1352FD"/>
    <w:rsid w:val="2A1A5F25"/>
    <w:rsid w:val="2A261CB4"/>
    <w:rsid w:val="2A290E78"/>
    <w:rsid w:val="2A2D16BF"/>
    <w:rsid w:val="2A36010C"/>
    <w:rsid w:val="2A384C29"/>
    <w:rsid w:val="2A5169E2"/>
    <w:rsid w:val="2A7702ED"/>
    <w:rsid w:val="2A8717CC"/>
    <w:rsid w:val="2A89218C"/>
    <w:rsid w:val="2AA074B7"/>
    <w:rsid w:val="2ABC1DA2"/>
    <w:rsid w:val="2AD47FCF"/>
    <w:rsid w:val="2ADE4A20"/>
    <w:rsid w:val="2ADF6C1D"/>
    <w:rsid w:val="2AF1143B"/>
    <w:rsid w:val="2B055075"/>
    <w:rsid w:val="2B077286"/>
    <w:rsid w:val="2B150BE8"/>
    <w:rsid w:val="2B171CE9"/>
    <w:rsid w:val="2B1F618A"/>
    <w:rsid w:val="2B3B6FC9"/>
    <w:rsid w:val="2B720FBE"/>
    <w:rsid w:val="2B79085B"/>
    <w:rsid w:val="2BC264ED"/>
    <w:rsid w:val="2BE5319F"/>
    <w:rsid w:val="2BF000DD"/>
    <w:rsid w:val="2C090211"/>
    <w:rsid w:val="2C0B0B2A"/>
    <w:rsid w:val="2C19486F"/>
    <w:rsid w:val="2C2155CC"/>
    <w:rsid w:val="2C244600"/>
    <w:rsid w:val="2C292288"/>
    <w:rsid w:val="2C4072B4"/>
    <w:rsid w:val="2C4751AB"/>
    <w:rsid w:val="2C5D6ACC"/>
    <w:rsid w:val="2C7547CE"/>
    <w:rsid w:val="2C870212"/>
    <w:rsid w:val="2C932DBB"/>
    <w:rsid w:val="2C990642"/>
    <w:rsid w:val="2CA13F2E"/>
    <w:rsid w:val="2CC6567D"/>
    <w:rsid w:val="2CCC2061"/>
    <w:rsid w:val="2CD21D3C"/>
    <w:rsid w:val="2CE851BB"/>
    <w:rsid w:val="2CF6088C"/>
    <w:rsid w:val="2D1363DE"/>
    <w:rsid w:val="2D242495"/>
    <w:rsid w:val="2D277449"/>
    <w:rsid w:val="2D336D29"/>
    <w:rsid w:val="2D392C54"/>
    <w:rsid w:val="2D3B186A"/>
    <w:rsid w:val="2D406FB4"/>
    <w:rsid w:val="2D580E36"/>
    <w:rsid w:val="2D890101"/>
    <w:rsid w:val="2D8D54D0"/>
    <w:rsid w:val="2D8F38CB"/>
    <w:rsid w:val="2D905D74"/>
    <w:rsid w:val="2DA70EC3"/>
    <w:rsid w:val="2DB52649"/>
    <w:rsid w:val="2DB60D6D"/>
    <w:rsid w:val="2DC87263"/>
    <w:rsid w:val="2DDA0590"/>
    <w:rsid w:val="2E0337C8"/>
    <w:rsid w:val="2E086967"/>
    <w:rsid w:val="2E0A2D41"/>
    <w:rsid w:val="2E1C14C6"/>
    <w:rsid w:val="2E2F6172"/>
    <w:rsid w:val="2E326357"/>
    <w:rsid w:val="2E43173C"/>
    <w:rsid w:val="2E4C12E7"/>
    <w:rsid w:val="2E6C0DC5"/>
    <w:rsid w:val="2E9A2953"/>
    <w:rsid w:val="2EA475EF"/>
    <w:rsid w:val="2EA71598"/>
    <w:rsid w:val="2EC05442"/>
    <w:rsid w:val="2ED71729"/>
    <w:rsid w:val="2EDD0226"/>
    <w:rsid w:val="2EF44655"/>
    <w:rsid w:val="2F1E38B2"/>
    <w:rsid w:val="2F330F0E"/>
    <w:rsid w:val="2F507FE0"/>
    <w:rsid w:val="2F591749"/>
    <w:rsid w:val="2F6B19E3"/>
    <w:rsid w:val="2F7276C1"/>
    <w:rsid w:val="2F8A2765"/>
    <w:rsid w:val="2FC377C4"/>
    <w:rsid w:val="2FCC1EBE"/>
    <w:rsid w:val="2FD44B54"/>
    <w:rsid w:val="30003110"/>
    <w:rsid w:val="30200362"/>
    <w:rsid w:val="30313BBE"/>
    <w:rsid w:val="306D4B6C"/>
    <w:rsid w:val="30700B7D"/>
    <w:rsid w:val="307D6310"/>
    <w:rsid w:val="3083785E"/>
    <w:rsid w:val="308D6308"/>
    <w:rsid w:val="30951C1D"/>
    <w:rsid w:val="30975F59"/>
    <w:rsid w:val="30AC4D46"/>
    <w:rsid w:val="30B1410A"/>
    <w:rsid w:val="30BC358F"/>
    <w:rsid w:val="30BD77B6"/>
    <w:rsid w:val="30C45F16"/>
    <w:rsid w:val="30D32D90"/>
    <w:rsid w:val="30D96070"/>
    <w:rsid w:val="30DD5202"/>
    <w:rsid w:val="30E15725"/>
    <w:rsid w:val="310373F4"/>
    <w:rsid w:val="31436B31"/>
    <w:rsid w:val="31480964"/>
    <w:rsid w:val="315E7755"/>
    <w:rsid w:val="31747C7F"/>
    <w:rsid w:val="31893324"/>
    <w:rsid w:val="319E0FA4"/>
    <w:rsid w:val="31A42079"/>
    <w:rsid w:val="31B813FA"/>
    <w:rsid w:val="31C35508"/>
    <w:rsid w:val="31C44D31"/>
    <w:rsid w:val="31DF737E"/>
    <w:rsid w:val="31EE1868"/>
    <w:rsid w:val="32076562"/>
    <w:rsid w:val="320C6257"/>
    <w:rsid w:val="3219585B"/>
    <w:rsid w:val="32265E9D"/>
    <w:rsid w:val="323F767F"/>
    <w:rsid w:val="3244184B"/>
    <w:rsid w:val="32511196"/>
    <w:rsid w:val="32603D7D"/>
    <w:rsid w:val="32642080"/>
    <w:rsid w:val="326561D9"/>
    <w:rsid w:val="32832CA2"/>
    <w:rsid w:val="3287472C"/>
    <w:rsid w:val="32A729F7"/>
    <w:rsid w:val="32BD1489"/>
    <w:rsid w:val="32C52218"/>
    <w:rsid w:val="32C95674"/>
    <w:rsid w:val="32D318F9"/>
    <w:rsid w:val="32F42594"/>
    <w:rsid w:val="330B3BD4"/>
    <w:rsid w:val="33190A64"/>
    <w:rsid w:val="331D2497"/>
    <w:rsid w:val="331E03F5"/>
    <w:rsid w:val="33234BD4"/>
    <w:rsid w:val="333776DF"/>
    <w:rsid w:val="33492B3F"/>
    <w:rsid w:val="33596578"/>
    <w:rsid w:val="337B6B06"/>
    <w:rsid w:val="338F5950"/>
    <w:rsid w:val="33967AD7"/>
    <w:rsid w:val="33B0228C"/>
    <w:rsid w:val="33E63D72"/>
    <w:rsid w:val="33EB3042"/>
    <w:rsid w:val="33F06C67"/>
    <w:rsid w:val="33F306AE"/>
    <w:rsid w:val="34160B2D"/>
    <w:rsid w:val="341D09D8"/>
    <w:rsid w:val="342121A4"/>
    <w:rsid w:val="34275DFD"/>
    <w:rsid w:val="343441C3"/>
    <w:rsid w:val="34426136"/>
    <w:rsid w:val="34524F82"/>
    <w:rsid w:val="345E654F"/>
    <w:rsid w:val="345F70A0"/>
    <w:rsid w:val="34696BF4"/>
    <w:rsid w:val="346F321B"/>
    <w:rsid w:val="347F3A0E"/>
    <w:rsid w:val="34BE2EEF"/>
    <w:rsid w:val="34CD6245"/>
    <w:rsid w:val="34D54906"/>
    <w:rsid w:val="34E651A6"/>
    <w:rsid w:val="34FE3F4D"/>
    <w:rsid w:val="350673A2"/>
    <w:rsid w:val="350B1701"/>
    <w:rsid w:val="350B33DE"/>
    <w:rsid w:val="350B71D9"/>
    <w:rsid w:val="352454F3"/>
    <w:rsid w:val="352639B4"/>
    <w:rsid w:val="35307702"/>
    <w:rsid w:val="354C5980"/>
    <w:rsid w:val="357546D5"/>
    <w:rsid w:val="357B2E48"/>
    <w:rsid w:val="35850A25"/>
    <w:rsid w:val="358575F4"/>
    <w:rsid w:val="3588467C"/>
    <w:rsid w:val="358C0FB0"/>
    <w:rsid w:val="359370F1"/>
    <w:rsid w:val="35B15F6B"/>
    <w:rsid w:val="35D2695B"/>
    <w:rsid w:val="35D82C86"/>
    <w:rsid w:val="35EA0C5A"/>
    <w:rsid w:val="3604374B"/>
    <w:rsid w:val="360530A8"/>
    <w:rsid w:val="361E5037"/>
    <w:rsid w:val="3640407E"/>
    <w:rsid w:val="3640435F"/>
    <w:rsid w:val="364228DA"/>
    <w:rsid w:val="3647576C"/>
    <w:rsid w:val="364A65DF"/>
    <w:rsid w:val="364B519C"/>
    <w:rsid w:val="364E6C4D"/>
    <w:rsid w:val="366068E0"/>
    <w:rsid w:val="366D2CB6"/>
    <w:rsid w:val="366F4B4A"/>
    <w:rsid w:val="36774DB5"/>
    <w:rsid w:val="367F72B1"/>
    <w:rsid w:val="368A4345"/>
    <w:rsid w:val="369825CA"/>
    <w:rsid w:val="36A414B1"/>
    <w:rsid w:val="36A97611"/>
    <w:rsid w:val="36B41143"/>
    <w:rsid w:val="36D27BC7"/>
    <w:rsid w:val="36D928FE"/>
    <w:rsid w:val="36E40A24"/>
    <w:rsid w:val="36E746E7"/>
    <w:rsid w:val="36E85DF4"/>
    <w:rsid w:val="36ED130A"/>
    <w:rsid w:val="37090D25"/>
    <w:rsid w:val="371636AF"/>
    <w:rsid w:val="371B0161"/>
    <w:rsid w:val="373111E4"/>
    <w:rsid w:val="37400FF9"/>
    <w:rsid w:val="375128BE"/>
    <w:rsid w:val="375B0E1D"/>
    <w:rsid w:val="3768607D"/>
    <w:rsid w:val="377B22D4"/>
    <w:rsid w:val="37A60B7B"/>
    <w:rsid w:val="37AC59A4"/>
    <w:rsid w:val="37C24FAE"/>
    <w:rsid w:val="37CF245F"/>
    <w:rsid w:val="37D52537"/>
    <w:rsid w:val="37D6795C"/>
    <w:rsid w:val="37D67C18"/>
    <w:rsid w:val="37D807F3"/>
    <w:rsid w:val="37EC4387"/>
    <w:rsid w:val="37F026AE"/>
    <w:rsid w:val="37F410A2"/>
    <w:rsid w:val="37F432F0"/>
    <w:rsid w:val="380465DC"/>
    <w:rsid w:val="3831295E"/>
    <w:rsid w:val="383A0D5F"/>
    <w:rsid w:val="38484810"/>
    <w:rsid w:val="38544F32"/>
    <w:rsid w:val="3857565C"/>
    <w:rsid w:val="386637E7"/>
    <w:rsid w:val="38685348"/>
    <w:rsid w:val="386F3C59"/>
    <w:rsid w:val="388537AC"/>
    <w:rsid w:val="38904EC4"/>
    <w:rsid w:val="38944984"/>
    <w:rsid w:val="38A4287C"/>
    <w:rsid w:val="38AE7BA1"/>
    <w:rsid w:val="38B17454"/>
    <w:rsid w:val="38BA4C69"/>
    <w:rsid w:val="38BC60E8"/>
    <w:rsid w:val="38E94720"/>
    <w:rsid w:val="38FA7C86"/>
    <w:rsid w:val="390C6E06"/>
    <w:rsid w:val="391C2FD2"/>
    <w:rsid w:val="392010F2"/>
    <w:rsid w:val="392153CE"/>
    <w:rsid w:val="39237655"/>
    <w:rsid w:val="393B2FD6"/>
    <w:rsid w:val="393C35CA"/>
    <w:rsid w:val="39404AB6"/>
    <w:rsid w:val="39690EE5"/>
    <w:rsid w:val="396B25C2"/>
    <w:rsid w:val="396F48E5"/>
    <w:rsid w:val="397679DF"/>
    <w:rsid w:val="39823264"/>
    <w:rsid w:val="399A1ED8"/>
    <w:rsid w:val="399C3BCE"/>
    <w:rsid w:val="39A97802"/>
    <w:rsid w:val="39AE2F1F"/>
    <w:rsid w:val="39B664C8"/>
    <w:rsid w:val="39D924ED"/>
    <w:rsid w:val="39DA45C9"/>
    <w:rsid w:val="39FD170B"/>
    <w:rsid w:val="3A023717"/>
    <w:rsid w:val="3A243391"/>
    <w:rsid w:val="3A291A67"/>
    <w:rsid w:val="3A2F6BD3"/>
    <w:rsid w:val="3A3020E9"/>
    <w:rsid w:val="3A32531E"/>
    <w:rsid w:val="3A3E70C4"/>
    <w:rsid w:val="3A4362DD"/>
    <w:rsid w:val="3A5D646E"/>
    <w:rsid w:val="3A7865A0"/>
    <w:rsid w:val="3A806AAD"/>
    <w:rsid w:val="3A97261C"/>
    <w:rsid w:val="3AAC1B84"/>
    <w:rsid w:val="3ABE0777"/>
    <w:rsid w:val="3AC21111"/>
    <w:rsid w:val="3AD24418"/>
    <w:rsid w:val="3AD46774"/>
    <w:rsid w:val="3AED2022"/>
    <w:rsid w:val="3B0071F8"/>
    <w:rsid w:val="3B0220B3"/>
    <w:rsid w:val="3B06310F"/>
    <w:rsid w:val="3B0C6DDE"/>
    <w:rsid w:val="3B2C2C4C"/>
    <w:rsid w:val="3B3B68B8"/>
    <w:rsid w:val="3B4F6B83"/>
    <w:rsid w:val="3B50006D"/>
    <w:rsid w:val="3B5B381D"/>
    <w:rsid w:val="3B6A3DFB"/>
    <w:rsid w:val="3B85046A"/>
    <w:rsid w:val="3B971190"/>
    <w:rsid w:val="3BA834A2"/>
    <w:rsid w:val="3BAA24CB"/>
    <w:rsid w:val="3BAD2F4C"/>
    <w:rsid w:val="3BAF43BE"/>
    <w:rsid w:val="3BB405DB"/>
    <w:rsid w:val="3BB901C3"/>
    <w:rsid w:val="3BEA3374"/>
    <w:rsid w:val="3C35444E"/>
    <w:rsid w:val="3C4B5DB5"/>
    <w:rsid w:val="3C583D7F"/>
    <w:rsid w:val="3C5F65EE"/>
    <w:rsid w:val="3C780C49"/>
    <w:rsid w:val="3C967F84"/>
    <w:rsid w:val="3CA65A9F"/>
    <w:rsid w:val="3CB97082"/>
    <w:rsid w:val="3CBD7A4E"/>
    <w:rsid w:val="3CC63A29"/>
    <w:rsid w:val="3CCA4683"/>
    <w:rsid w:val="3CD1164B"/>
    <w:rsid w:val="3CD546B0"/>
    <w:rsid w:val="3CEC501B"/>
    <w:rsid w:val="3CF977D3"/>
    <w:rsid w:val="3D1D37B4"/>
    <w:rsid w:val="3D277E77"/>
    <w:rsid w:val="3D2C0EF9"/>
    <w:rsid w:val="3D6E09EA"/>
    <w:rsid w:val="3D6F7046"/>
    <w:rsid w:val="3D802A06"/>
    <w:rsid w:val="3D8315C6"/>
    <w:rsid w:val="3D963705"/>
    <w:rsid w:val="3DA365BF"/>
    <w:rsid w:val="3DAB19A8"/>
    <w:rsid w:val="3DB86492"/>
    <w:rsid w:val="3DBE6D53"/>
    <w:rsid w:val="3DC14A8C"/>
    <w:rsid w:val="3DD34109"/>
    <w:rsid w:val="3DD514BF"/>
    <w:rsid w:val="3DD8620F"/>
    <w:rsid w:val="3E020609"/>
    <w:rsid w:val="3E23114F"/>
    <w:rsid w:val="3E341008"/>
    <w:rsid w:val="3E3B7B79"/>
    <w:rsid w:val="3E3C5AC7"/>
    <w:rsid w:val="3E4B769B"/>
    <w:rsid w:val="3E5210C7"/>
    <w:rsid w:val="3E694748"/>
    <w:rsid w:val="3E75072C"/>
    <w:rsid w:val="3E930119"/>
    <w:rsid w:val="3E9E3277"/>
    <w:rsid w:val="3EA662A3"/>
    <w:rsid w:val="3ECC52E2"/>
    <w:rsid w:val="3ED17F92"/>
    <w:rsid w:val="3EE90555"/>
    <w:rsid w:val="3EF76BCE"/>
    <w:rsid w:val="3EFC316D"/>
    <w:rsid w:val="3EFF14AE"/>
    <w:rsid w:val="3F054E0B"/>
    <w:rsid w:val="3F2021F5"/>
    <w:rsid w:val="3F226D28"/>
    <w:rsid w:val="3F325E65"/>
    <w:rsid w:val="3F3D5547"/>
    <w:rsid w:val="3F6162A8"/>
    <w:rsid w:val="3F680928"/>
    <w:rsid w:val="3F874C96"/>
    <w:rsid w:val="3F8B297D"/>
    <w:rsid w:val="3F8E6BC5"/>
    <w:rsid w:val="3F99358E"/>
    <w:rsid w:val="3F9D0A32"/>
    <w:rsid w:val="3FA274C2"/>
    <w:rsid w:val="3FC11EEB"/>
    <w:rsid w:val="3FCF6D9E"/>
    <w:rsid w:val="3FD6210D"/>
    <w:rsid w:val="3FF263E9"/>
    <w:rsid w:val="40366E6A"/>
    <w:rsid w:val="403D2DBC"/>
    <w:rsid w:val="40407AD0"/>
    <w:rsid w:val="404A3C72"/>
    <w:rsid w:val="40515FFF"/>
    <w:rsid w:val="40575B45"/>
    <w:rsid w:val="405B3D9C"/>
    <w:rsid w:val="40625F4C"/>
    <w:rsid w:val="40641378"/>
    <w:rsid w:val="40796702"/>
    <w:rsid w:val="409C1A4F"/>
    <w:rsid w:val="40AD16C9"/>
    <w:rsid w:val="40B82F73"/>
    <w:rsid w:val="40BB0C19"/>
    <w:rsid w:val="40CC51BC"/>
    <w:rsid w:val="40E80A88"/>
    <w:rsid w:val="40F1504F"/>
    <w:rsid w:val="40FE6CB3"/>
    <w:rsid w:val="41022A6D"/>
    <w:rsid w:val="410F3B38"/>
    <w:rsid w:val="41264D4A"/>
    <w:rsid w:val="412A137A"/>
    <w:rsid w:val="413761CE"/>
    <w:rsid w:val="413C3334"/>
    <w:rsid w:val="413F31D6"/>
    <w:rsid w:val="41532F39"/>
    <w:rsid w:val="415B605B"/>
    <w:rsid w:val="41636DA5"/>
    <w:rsid w:val="41671CC1"/>
    <w:rsid w:val="416B5F16"/>
    <w:rsid w:val="417559CA"/>
    <w:rsid w:val="418801FC"/>
    <w:rsid w:val="41922388"/>
    <w:rsid w:val="41A94F44"/>
    <w:rsid w:val="41B1798F"/>
    <w:rsid w:val="41C12D5A"/>
    <w:rsid w:val="41D738FF"/>
    <w:rsid w:val="41EB36BD"/>
    <w:rsid w:val="41EC09E4"/>
    <w:rsid w:val="420202F0"/>
    <w:rsid w:val="42042A4E"/>
    <w:rsid w:val="421B6375"/>
    <w:rsid w:val="42266CF2"/>
    <w:rsid w:val="42373AB7"/>
    <w:rsid w:val="424E0DC0"/>
    <w:rsid w:val="4269757A"/>
    <w:rsid w:val="42702872"/>
    <w:rsid w:val="427B6228"/>
    <w:rsid w:val="42895AE0"/>
    <w:rsid w:val="42971AB9"/>
    <w:rsid w:val="42987630"/>
    <w:rsid w:val="42996199"/>
    <w:rsid w:val="42A2489C"/>
    <w:rsid w:val="42A65DD5"/>
    <w:rsid w:val="42BE0800"/>
    <w:rsid w:val="42C948FC"/>
    <w:rsid w:val="42D568CE"/>
    <w:rsid w:val="42D94479"/>
    <w:rsid w:val="42DD0463"/>
    <w:rsid w:val="42EA5CD6"/>
    <w:rsid w:val="42FB4D4A"/>
    <w:rsid w:val="431A1C84"/>
    <w:rsid w:val="431D2293"/>
    <w:rsid w:val="43203BEA"/>
    <w:rsid w:val="4332570A"/>
    <w:rsid w:val="43431718"/>
    <w:rsid w:val="435E64BB"/>
    <w:rsid w:val="436E615F"/>
    <w:rsid w:val="4376067E"/>
    <w:rsid w:val="437B65E7"/>
    <w:rsid w:val="438420F9"/>
    <w:rsid w:val="438677B7"/>
    <w:rsid w:val="4393590B"/>
    <w:rsid w:val="43986289"/>
    <w:rsid w:val="43A63887"/>
    <w:rsid w:val="43B46F62"/>
    <w:rsid w:val="43CA0BDB"/>
    <w:rsid w:val="43CC3A21"/>
    <w:rsid w:val="43DB2375"/>
    <w:rsid w:val="43DE587B"/>
    <w:rsid w:val="43F72D90"/>
    <w:rsid w:val="440474B2"/>
    <w:rsid w:val="440D729F"/>
    <w:rsid w:val="442924F5"/>
    <w:rsid w:val="442C4C6B"/>
    <w:rsid w:val="442D34FC"/>
    <w:rsid w:val="445738B8"/>
    <w:rsid w:val="446D5EA3"/>
    <w:rsid w:val="447955F1"/>
    <w:rsid w:val="448D2C8F"/>
    <w:rsid w:val="44902A7B"/>
    <w:rsid w:val="44A85801"/>
    <w:rsid w:val="44AC5C66"/>
    <w:rsid w:val="44C21700"/>
    <w:rsid w:val="44CD1D3B"/>
    <w:rsid w:val="44D32730"/>
    <w:rsid w:val="44D56351"/>
    <w:rsid w:val="44E109B4"/>
    <w:rsid w:val="44E3023A"/>
    <w:rsid w:val="44E82327"/>
    <w:rsid w:val="450250BE"/>
    <w:rsid w:val="45124409"/>
    <w:rsid w:val="452F2F23"/>
    <w:rsid w:val="45352343"/>
    <w:rsid w:val="45376566"/>
    <w:rsid w:val="453A1DFF"/>
    <w:rsid w:val="45450A4D"/>
    <w:rsid w:val="454955DF"/>
    <w:rsid w:val="454964D0"/>
    <w:rsid w:val="454A4D51"/>
    <w:rsid w:val="45614532"/>
    <w:rsid w:val="458A0D99"/>
    <w:rsid w:val="458E582E"/>
    <w:rsid w:val="4597286B"/>
    <w:rsid w:val="45AC7C9A"/>
    <w:rsid w:val="45B15AC7"/>
    <w:rsid w:val="45B66266"/>
    <w:rsid w:val="45F20DF8"/>
    <w:rsid w:val="460674F4"/>
    <w:rsid w:val="460706E9"/>
    <w:rsid w:val="460C6893"/>
    <w:rsid w:val="460E44EA"/>
    <w:rsid w:val="461D4063"/>
    <w:rsid w:val="462804B3"/>
    <w:rsid w:val="462F3504"/>
    <w:rsid w:val="4635341C"/>
    <w:rsid w:val="4639732A"/>
    <w:rsid w:val="4668446F"/>
    <w:rsid w:val="467076E9"/>
    <w:rsid w:val="46853361"/>
    <w:rsid w:val="46A5200F"/>
    <w:rsid w:val="46CB2CA7"/>
    <w:rsid w:val="46CE1F0A"/>
    <w:rsid w:val="46D52CD5"/>
    <w:rsid w:val="46F52F90"/>
    <w:rsid w:val="46FB3D6D"/>
    <w:rsid w:val="46FE33B0"/>
    <w:rsid w:val="47232A42"/>
    <w:rsid w:val="472F65BB"/>
    <w:rsid w:val="47385086"/>
    <w:rsid w:val="475143DC"/>
    <w:rsid w:val="476B4E20"/>
    <w:rsid w:val="47701CB6"/>
    <w:rsid w:val="477D0A9C"/>
    <w:rsid w:val="47B808C4"/>
    <w:rsid w:val="47BC08DD"/>
    <w:rsid w:val="47C523B5"/>
    <w:rsid w:val="47E10CB6"/>
    <w:rsid w:val="48000CD2"/>
    <w:rsid w:val="481337EE"/>
    <w:rsid w:val="482D0BC3"/>
    <w:rsid w:val="484B582B"/>
    <w:rsid w:val="487A12E6"/>
    <w:rsid w:val="48895DAB"/>
    <w:rsid w:val="4892236D"/>
    <w:rsid w:val="48A97735"/>
    <w:rsid w:val="48BA34CD"/>
    <w:rsid w:val="48DA2E78"/>
    <w:rsid w:val="48DE6BE1"/>
    <w:rsid w:val="48E0038B"/>
    <w:rsid w:val="48E81A25"/>
    <w:rsid w:val="48EB1465"/>
    <w:rsid w:val="48EF7C34"/>
    <w:rsid w:val="48F76FEB"/>
    <w:rsid w:val="48F93EA1"/>
    <w:rsid w:val="48FB1039"/>
    <w:rsid w:val="49183F56"/>
    <w:rsid w:val="49185092"/>
    <w:rsid w:val="49344CF7"/>
    <w:rsid w:val="493636F1"/>
    <w:rsid w:val="49391A4F"/>
    <w:rsid w:val="49677ED9"/>
    <w:rsid w:val="49736101"/>
    <w:rsid w:val="499B5E23"/>
    <w:rsid w:val="499F741F"/>
    <w:rsid w:val="49C52D7C"/>
    <w:rsid w:val="49C74047"/>
    <w:rsid w:val="49D24CE6"/>
    <w:rsid w:val="49F60C5D"/>
    <w:rsid w:val="4A05714E"/>
    <w:rsid w:val="4A061C8C"/>
    <w:rsid w:val="4A13572C"/>
    <w:rsid w:val="4A167316"/>
    <w:rsid w:val="4A2059C2"/>
    <w:rsid w:val="4A2743F1"/>
    <w:rsid w:val="4A2C5ED4"/>
    <w:rsid w:val="4A45780E"/>
    <w:rsid w:val="4A6C56AD"/>
    <w:rsid w:val="4A7A22ED"/>
    <w:rsid w:val="4A815537"/>
    <w:rsid w:val="4AA42C86"/>
    <w:rsid w:val="4ABF6F4C"/>
    <w:rsid w:val="4AC77DE7"/>
    <w:rsid w:val="4ADC5038"/>
    <w:rsid w:val="4AE26B43"/>
    <w:rsid w:val="4B082A04"/>
    <w:rsid w:val="4B147969"/>
    <w:rsid w:val="4B2B1901"/>
    <w:rsid w:val="4B2D6A69"/>
    <w:rsid w:val="4B32455B"/>
    <w:rsid w:val="4B376F4D"/>
    <w:rsid w:val="4B412F46"/>
    <w:rsid w:val="4B58670D"/>
    <w:rsid w:val="4B67075D"/>
    <w:rsid w:val="4B8C0AB3"/>
    <w:rsid w:val="4B97538F"/>
    <w:rsid w:val="4BA35F49"/>
    <w:rsid w:val="4BB40CB1"/>
    <w:rsid w:val="4BBD05AC"/>
    <w:rsid w:val="4BBD42E9"/>
    <w:rsid w:val="4BC91A87"/>
    <w:rsid w:val="4BDF3D9F"/>
    <w:rsid w:val="4BFC2453"/>
    <w:rsid w:val="4C073DAB"/>
    <w:rsid w:val="4C0D7660"/>
    <w:rsid w:val="4C0E1E85"/>
    <w:rsid w:val="4C1C632B"/>
    <w:rsid w:val="4C2E759F"/>
    <w:rsid w:val="4C3B7473"/>
    <w:rsid w:val="4C6363DC"/>
    <w:rsid w:val="4C661E15"/>
    <w:rsid w:val="4C7B3D40"/>
    <w:rsid w:val="4CBA70A3"/>
    <w:rsid w:val="4CC705F7"/>
    <w:rsid w:val="4CD47649"/>
    <w:rsid w:val="4CE246C1"/>
    <w:rsid w:val="4CEC3E9B"/>
    <w:rsid w:val="4CFF5373"/>
    <w:rsid w:val="4D49182A"/>
    <w:rsid w:val="4D64770A"/>
    <w:rsid w:val="4D8907CB"/>
    <w:rsid w:val="4DA71963"/>
    <w:rsid w:val="4DAF08FA"/>
    <w:rsid w:val="4DB8466E"/>
    <w:rsid w:val="4DCF2CAC"/>
    <w:rsid w:val="4DD934FD"/>
    <w:rsid w:val="4DE87ADD"/>
    <w:rsid w:val="4E10600F"/>
    <w:rsid w:val="4E1812BB"/>
    <w:rsid w:val="4E3D4526"/>
    <w:rsid w:val="4E481FBF"/>
    <w:rsid w:val="4E6A003D"/>
    <w:rsid w:val="4E790682"/>
    <w:rsid w:val="4EA13260"/>
    <w:rsid w:val="4EA57C5E"/>
    <w:rsid w:val="4EBA2841"/>
    <w:rsid w:val="4EBA5785"/>
    <w:rsid w:val="4EBA7F6E"/>
    <w:rsid w:val="4EBF5A52"/>
    <w:rsid w:val="4EE820F4"/>
    <w:rsid w:val="4EEE222B"/>
    <w:rsid w:val="4EF2309F"/>
    <w:rsid w:val="4F116461"/>
    <w:rsid w:val="4F1A786E"/>
    <w:rsid w:val="4F244236"/>
    <w:rsid w:val="4F385362"/>
    <w:rsid w:val="4F4829C8"/>
    <w:rsid w:val="4FC00EF0"/>
    <w:rsid w:val="4FEF1DA4"/>
    <w:rsid w:val="500E3E6B"/>
    <w:rsid w:val="50274670"/>
    <w:rsid w:val="502A62F9"/>
    <w:rsid w:val="50326AD4"/>
    <w:rsid w:val="503D0F67"/>
    <w:rsid w:val="50520203"/>
    <w:rsid w:val="5067468F"/>
    <w:rsid w:val="506814E5"/>
    <w:rsid w:val="506D153F"/>
    <w:rsid w:val="50807D8C"/>
    <w:rsid w:val="508B0EFF"/>
    <w:rsid w:val="50906C88"/>
    <w:rsid w:val="50AE5929"/>
    <w:rsid w:val="50B02B94"/>
    <w:rsid w:val="50D54AED"/>
    <w:rsid w:val="50DB1EAF"/>
    <w:rsid w:val="50EF19F6"/>
    <w:rsid w:val="50FF6EF1"/>
    <w:rsid w:val="51224460"/>
    <w:rsid w:val="51457E02"/>
    <w:rsid w:val="51460039"/>
    <w:rsid w:val="516570C1"/>
    <w:rsid w:val="516D2E1D"/>
    <w:rsid w:val="51794078"/>
    <w:rsid w:val="517F6BCC"/>
    <w:rsid w:val="518763AD"/>
    <w:rsid w:val="51D0529E"/>
    <w:rsid w:val="51E051C4"/>
    <w:rsid w:val="51F4632E"/>
    <w:rsid w:val="520B6886"/>
    <w:rsid w:val="52163A91"/>
    <w:rsid w:val="523106DB"/>
    <w:rsid w:val="52585589"/>
    <w:rsid w:val="525A732D"/>
    <w:rsid w:val="525C408D"/>
    <w:rsid w:val="526213F9"/>
    <w:rsid w:val="52663CCA"/>
    <w:rsid w:val="5289744C"/>
    <w:rsid w:val="528D0625"/>
    <w:rsid w:val="529467AA"/>
    <w:rsid w:val="52C245F2"/>
    <w:rsid w:val="52C412EB"/>
    <w:rsid w:val="52CC4984"/>
    <w:rsid w:val="52D77C1D"/>
    <w:rsid w:val="52E66C6A"/>
    <w:rsid w:val="52FF4DE9"/>
    <w:rsid w:val="530B628C"/>
    <w:rsid w:val="531C6A22"/>
    <w:rsid w:val="531E1C8C"/>
    <w:rsid w:val="534752B6"/>
    <w:rsid w:val="53540354"/>
    <w:rsid w:val="53687135"/>
    <w:rsid w:val="536F35C8"/>
    <w:rsid w:val="537404FD"/>
    <w:rsid w:val="537B0C63"/>
    <w:rsid w:val="53A077D7"/>
    <w:rsid w:val="53A86FE9"/>
    <w:rsid w:val="53DC2DC5"/>
    <w:rsid w:val="53E40BC8"/>
    <w:rsid w:val="53E70D3E"/>
    <w:rsid w:val="53F07814"/>
    <w:rsid w:val="53F3209F"/>
    <w:rsid w:val="53FE1DE8"/>
    <w:rsid w:val="540904F8"/>
    <w:rsid w:val="540D3BA1"/>
    <w:rsid w:val="54400AFC"/>
    <w:rsid w:val="544D793D"/>
    <w:rsid w:val="5456643F"/>
    <w:rsid w:val="5463197D"/>
    <w:rsid w:val="546840DF"/>
    <w:rsid w:val="548E4940"/>
    <w:rsid w:val="54974C90"/>
    <w:rsid w:val="549C16E9"/>
    <w:rsid w:val="549E3F9C"/>
    <w:rsid w:val="54BB5988"/>
    <w:rsid w:val="54E4360D"/>
    <w:rsid w:val="54E8082D"/>
    <w:rsid w:val="54E955B1"/>
    <w:rsid w:val="54F92B6B"/>
    <w:rsid w:val="54FA743E"/>
    <w:rsid w:val="55233B1E"/>
    <w:rsid w:val="552E4F0A"/>
    <w:rsid w:val="5535578C"/>
    <w:rsid w:val="554927B3"/>
    <w:rsid w:val="55571D95"/>
    <w:rsid w:val="555E7B2D"/>
    <w:rsid w:val="55626FF9"/>
    <w:rsid w:val="55A51D06"/>
    <w:rsid w:val="55AD08F9"/>
    <w:rsid w:val="55AD275F"/>
    <w:rsid w:val="55C62FAA"/>
    <w:rsid w:val="55D06686"/>
    <w:rsid w:val="55DD6B70"/>
    <w:rsid w:val="55E31300"/>
    <w:rsid w:val="55F83424"/>
    <w:rsid w:val="55FE647D"/>
    <w:rsid w:val="56222DB3"/>
    <w:rsid w:val="56286BFC"/>
    <w:rsid w:val="562D7D26"/>
    <w:rsid w:val="563C0300"/>
    <w:rsid w:val="5648102F"/>
    <w:rsid w:val="56513F44"/>
    <w:rsid w:val="566D2E69"/>
    <w:rsid w:val="5673024A"/>
    <w:rsid w:val="568C2EB4"/>
    <w:rsid w:val="56906CC0"/>
    <w:rsid w:val="56955B8B"/>
    <w:rsid w:val="56A31EA6"/>
    <w:rsid w:val="56A715E9"/>
    <w:rsid w:val="56A7295C"/>
    <w:rsid w:val="56BC5105"/>
    <w:rsid w:val="56CA51A0"/>
    <w:rsid w:val="56D31CCA"/>
    <w:rsid w:val="56DD2EA5"/>
    <w:rsid w:val="56EF71E4"/>
    <w:rsid w:val="56F16658"/>
    <w:rsid w:val="56FA5263"/>
    <w:rsid w:val="570C772D"/>
    <w:rsid w:val="57102863"/>
    <w:rsid w:val="571F59F3"/>
    <w:rsid w:val="576A4278"/>
    <w:rsid w:val="57781C76"/>
    <w:rsid w:val="57901A87"/>
    <w:rsid w:val="579627F5"/>
    <w:rsid w:val="57982FC4"/>
    <w:rsid w:val="57A32F75"/>
    <w:rsid w:val="57B517B3"/>
    <w:rsid w:val="57C0421F"/>
    <w:rsid w:val="57C924AB"/>
    <w:rsid w:val="57DB599E"/>
    <w:rsid w:val="57ED4323"/>
    <w:rsid w:val="58097AB0"/>
    <w:rsid w:val="580D3EAC"/>
    <w:rsid w:val="5811163D"/>
    <w:rsid w:val="5824473B"/>
    <w:rsid w:val="5827444F"/>
    <w:rsid w:val="586D344E"/>
    <w:rsid w:val="5870784A"/>
    <w:rsid w:val="58AA4936"/>
    <w:rsid w:val="58AE092A"/>
    <w:rsid w:val="58B61C93"/>
    <w:rsid w:val="58B82C2A"/>
    <w:rsid w:val="58C91D29"/>
    <w:rsid w:val="58CD6FA1"/>
    <w:rsid w:val="58E1164F"/>
    <w:rsid w:val="58E572CF"/>
    <w:rsid w:val="58FA1C81"/>
    <w:rsid w:val="590642AF"/>
    <w:rsid w:val="590E07F2"/>
    <w:rsid w:val="592A5417"/>
    <w:rsid w:val="592A75F0"/>
    <w:rsid w:val="593D5D7A"/>
    <w:rsid w:val="5942576C"/>
    <w:rsid w:val="59470297"/>
    <w:rsid w:val="59663D67"/>
    <w:rsid w:val="596D1DD9"/>
    <w:rsid w:val="599A2388"/>
    <w:rsid w:val="59A66C74"/>
    <w:rsid w:val="59AD4542"/>
    <w:rsid w:val="59EC0D8A"/>
    <w:rsid w:val="59F1552C"/>
    <w:rsid w:val="5A0848E0"/>
    <w:rsid w:val="5A0E13ED"/>
    <w:rsid w:val="5A126588"/>
    <w:rsid w:val="5A141BE6"/>
    <w:rsid w:val="5A2D0E04"/>
    <w:rsid w:val="5A330DA0"/>
    <w:rsid w:val="5A4A6DE0"/>
    <w:rsid w:val="5A4E07EF"/>
    <w:rsid w:val="5A540C8A"/>
    <w:rsid w:val="5A541696"/>
    <w:rsid w:val="5A5A2A11"/>
    <w:rsid w:val="5A696BCA"/>
    <w:rsid w:val="5A7411C4"/>
    <w:rsid w:val="5AA315CC"/>
    <w:rsid w:val="5AAB24FA"/>
    <w:rsid w:val="5AB37083"/>
    <w:rsid w:val="5AFC072D"/>
    <w:rsid w:val="5B0C15C9"/>
    <w:rsid w:val="5B136C1E"/>
    <w:rsid w:val="5B222E5F"/>
    <w:rsid w:val="5B275F01"/>
    <w:rsid w:val="5B4D68E4"/>
    <w:rsid w:val="5B722557"/>
    <w:rsid w:val="5B7A4E9E"/>
    <w:rsid w:val="5B8161B4"/>
    <w:rsid w:val="5B951327"/>
    <w:rsid w:val="5B9515CF"/>
    <w:rsid w:val="5BA0014D"/>
    <w:rsid w:val="5BA23D19"/>
    <w:rsid w:val="5BAE7CF9"/>
    <w:rsid w:val="5BBA40AE"/>
    <w:rsid w:val="5BDA1C48"/>
    <w:rsid w:val="5BE52277"/>
    <w:rsid w:val="5BF7216A"/>
    <w:rsid w:val="5C100154"/>
    <w:rsid w:val="5C2507E9"/>
    <w:rsid w:val="5C254CC2"/>
    <w:rsid w:val="5C26780A"/>
    <w:rsid w:val="5C3C3A37"/>
    <w:rsid w:val="5C405259"/>
    <w:rsid w:val="5C4C2E61"/>
    <w:rsid w:val="5C59579E"/>
    <w:rsid w:val="5C5D44E5"/>
    <w:rsid w:val="5C807B0E"/>
    <w:rsid w:val="5C8B0932"/>
    <w:rsid w:val="5C946CCF"/>
    <w:rsid w:val="5C9F4571"/>
    <w:rsid w:val="5CC64305"/>
    <w:rsid w:val="5CDE7190"/>
    <w:rsid w:val="5CF24419"/>
    <w:rsid w:val="5D060FF9"/>
    <w:rsid w:val="5D187DB0"/>
    <w:rsid w:val="5D2B26BE"/>
    <w:rsid w:val="5D2E5E48"/>
    <w:rsid w:val="5D3016A8"/>
    <w:rsid w:val="5D413D45"/>
    <w:rsid w:val="5D56703D"/>
    <w:rsid w:val="5D705028"/>
    <w:rsid w:val="5D717BF2"/>
    <w:rsid w:val="5DA23477"/>
    <w:rsid w:val="5DBC6762"/>
    <w:rsid w:val="5E006D16"/>
    <w:rsid w:val="5E01257B"/>
    <w:rsid w:val="5E1A250F"/>
    <w:rsid w:val="5E327EAE"/>
    <w:rsid w:val="5E4D7767"/>
    <w:rsid w:val="5E534711"/>
    <w:rsid w:val="5E5827CE"/>
    <w:rsid w:val="5E6175C1"/>
    <w:rsid w:val="5E866CB1"/>
    <w:rsid w:val="5E8F1A21"/>
    <w:rsid w:val="5EA50C24"/>
    <w:rsid w:val="5EA83B73"/>
    <w:rsid w:val="5EBC101D"/>
    <w:rsid w:val="5ED747EB"/>
    <w:rsid w:val="5EE23F8D"/>
    <w:rsid w:val="5EE83905"/>
    <w:rsid w:val="5EED47FD"/>
    <w:rsid w:val="5EFE3E07"/>
    <w:rsid w:val="5F0E655C"/>
    <w:rsid w:val="5F24548A"/>
    <w:rsid w:val="5F2A0C5A"/>
    <w:rsid w:val="5F32572C"/>
    <w:rsid w:val="5F327FD2"/>
    <w:rsid w:val="5F573CA9"/>
    <w:rsid w:val="5F75447E"/>
    <w:rsid w:val="5F970D5B"/>
    <w:rsid w:val="5FB206F7"/>
    <w:rsid w:val="5FC82667"/>
    <w:rsid w:val="5FD01870"/>
    <w:rsid w:val="5FD12B81"/>
    <w:rsid w:val="5FD360B2"/>
    <w:rsid w:val="5FE76D8C"/>
    <w:rsid w:val="5FFA1001"/>
    <w:rsid w:val="600757E1"/>
    <w:rsid w:val="60385D83"/>
    <w:rsid w:val="60462F4F"/>
    <w:rsid w:val="604F2B83"/>
    <w:rsid w:val="60517059"/>
    <w:rsid w:val="60552A1E"/>
    <w:rsid w:val="605A1298"/>
    <w:rsid w:val="606F48FD"/>
    <w:rsid w:val="60830626"/>
    <w:rsid w:val="609D0444"/>
    <w:rsid w:val="60E53477"/>
    <w:rsid w:val="60EA1C73"/>
    <w:rsid w:val="60EB711B"/>
    <w:rsid w:val="60F6479D"/>
    <w:rsid w:val="60FA5C67"/>
    <w:rsid w:val="6110651A"/>
    <w:rsid w:val="61214BB0"/>
    <w:rsid w:val="612B2E9C"/>
    <w:rsid w:val="61335329"/>
    <w:rsid w:val="61336657"/>
    <w:rsid w:val="613A2019"/>
    <w:rsid w:val="6150617D"/>
    <w:rsid w:val="615F7CB8"/>
    <w:rsid w:val="61682AE1"/>
    <w:rsid w:val="616B0223"/>
    <w:rsid w:val="61A9723C"/>
    <w:rsid w:val="61BF6467"/>
    <w:rsid w:val="61DF15F0"/>
    <w:rsid w:val="61E6114F"/>
    <w:rsid w:val="61EF305C"/>
    <w:rsid w:val="61F34C90"/>
    <w:rsid w:val="620B3C82"/>
    <w:rsid w:val="620C4090"/>
    <w:rsid w:val="622149AA"/>
    <w:rsid w:val="62244D37"/>
    <w:rsid w:val="622A1FBD"/>
    <w:rsid w:val="622B702F"/>
    <w:rsid w:val="62334F77"/>
    <w:rsid w:val="62347FAD"/>
    <w:rsid w:val="62392376"/>
    <w:rsid w:val="62432283"/>
    <w:rsid w:val="624851E5"/>
    <w:rsid w:val="625F14DF"/>
    <w:rsid w:val="62645012"/>
    <w:rsid w:val="62955558"/>
    <w:rsid w:val="62BF533F"/>
    <w:rsid w:val="62CC0E5E"/>
    <w:rsid w:val="62CE3F88"/>
    <w:rsid w:val="62D70C73"/>
    <w:rsid w:val="62F15C3F"/>
    <w:rsid w:val="63014EFD"/>
    <w:rsid w:val="63057ABF"/>
    <w:rsid w:val="631F6831"/>
    <w:rsid w:val="6321079C"/>
    <w:rsid w:val="635203EC"/>
    <w:rsid w:val="63567044"/>
    <w:rsid w:val="635C0FBA"/>
    <w:rsid w:val="636A18BA"/>
    <w:rsid w:val="636F6967"/>
    <w:rsid w:val="63817D57"/>
    <w:rsid w:val="638A3F57"/>
    <w:rsid w:val="638B4E7E"/>
    <w:rsid w:val="6396270A"/>
    <w:rsid w:val="639F1DC8"/>
    <w:rsid w:val="63A404B7"/>
    <w:rsid w:val="63AB6565"/>
    <w:rsid w:val="63B40478"/>
    <w:rsid w:val="63C701B1"/>
    <w:rsid w:val="63D12BCC"/>
    <w:rsid w:val="63E862F9"/>
    <w:rsid w:val="63EB5F46"/>
    <w:rsid w:val="64047133"/>
    <w:rsid w:val="64157DC6"/>
    <w:rsid w:val="641F2C60"/>
    <w:rsid w:val="64426416"/>
    <w:rsid w:val="64430111"/>
    <w:rsid w:val="64485887"/>
    <w:rsid w:val="64496C0E"/>
    <w:rsid w:val="64584E38"/>
    <w:rsid w:val="646B52B0"/>
    <w:rsid w:val="64736DD2"/>
    <w:rsid w:val="64744D1B"/>
    <w:rsid w:val="647567EE"/>
    <w:rsid w:val="64762C14"/>
    <w:rsid w:val="64881FF3"/>
    <w:rsid w:val="64A8454C"/>
    <w:rsid w:val="64AC6580"/>
    <w:rsid w:val="64AE17A3"/>
    <w:rsid w:val="64B930F2"/>
    <w:rsid w:val="64BE60C4"/>
    <w:rsid w:val="64C2449D"/>
    <w:rsid w:val="64D606A8"/>
    <w:rsid w:val="64DC0A4F"/>
    <w:rsid w:val="64DC663D"/>
    <w:rsid w:val="64F60A1F"/>
    <w:rsid w:val="64FE6C43"/>
    <w:rsid w:val="65193F67"/>
    <w:rsid w:val="651F2078"/>
    <w:rsid w:val="652A557F"/>
    <w:rsid w:val="653D52B2"/>
    <w:rsid w:val="65865753"/>
    <w:rsid w:val="65906863"/>
    <w:rsid w:val="6598353D"/>
    <w:rsid w:val="65E64B76"/>
    <w:rsid w:val="65E750CE"/>
    <w:rsid w:val="65F27732"/>
    <w:rsid w:val="65FB7AF7"/>
    <w:rsid w:val="66080CDD"/>
    <w:rsid w:val="66114235"/>
    <w:rsid w:val="66144F68"/>
    <w:rsid w:val="66243054"/>
    <w:rsid w:val="662E0DD9"/>
    <w:rsid w:val="663331D3"/>
    <w:rsid w:val="66363AC8"/>
    <w:rsid w:val="66474699"/>
    <w:rsid w:val="66504827"/>
    <w:rsid w:val="66611DA5"/>
    <w:rsid w:val="667218CC"/>
    <w:rsid w:val="668C294D"/>
    <w:rsid w:val="66C173A9"/>
    <w:rsid w:val="66C640AE"/>
    <w:rsid w:val="66CE371B"/>
    <w:rsid w:val="66D30C2C"/>
    <w:rsid w:val="66DA4111"/>
    <w:rsid w:val="66E348F1"/>
    <w:rsid w:val="66EB5E90"/>
    <w:rsid w:val="67467120"/>
    <w:rsid w:val="675C07AE"/>
    <w:rsid w:val="675F32ED"/>
    <w:rsid w:val="676B70EA"/>
    <w:rsid w:val="67700F44"/>
    <w:rsid w:val="67785D6D"/>
    <w:rsid w:val="67A77206"/>
    <w:rsid w:val="67B33EC7"/>
    <w:rsid w:val="67B35995"/>
    <w:rsid w:val="67E7269D"/>
    <w:rsid w:val="6808348D"/>
    <w:rsid w:val="683D27CB"/>
    <w:rsid w:val="683D57C7"/>
    <w:rsid w:val="68410EE4"/>
    <w:rsid w:val="684753BC"/>
    <w:rsid w:val="68517E10"/>
    <w:rsid w:val="685A41EB"/>
    <w:rsid w:val="686B5870"/>
    <w:rsid w:val="68720FB7"/>
    <w:rsid w:val="68841DD8"/>
    <w:rsid w:val="68843BA3"/>
    <w:rsid w:val="688C55A7"/>
    <w:rsid w:val="68B0177F"/>
    <w:rsid w:val="68D152F8"/>
    <w:rsid w:val="68D35F42"/>
    <w:rsid w:val="68E10AA2"/>
    <w:rsid w:val="68E85BC2"/>
    <w:rsid w:val="68F43ABF"/>
    <w:rsid w:val="68F5386C"/>
    <w:rsid w:val="69046800"/>
    <w:rsid w:val="691E5EF0"/>
    <w:rsid w:val="692B0AA7"/>
    <w:rsid w:val="6934284F"/>
    <w:rsid w:val="695827E6"/>
    <w:rsid w:val="697052A2"/>
    <w:rsid w:val="69740E69"/>
    <w:rsid w:val="69776833"/>
    <w:rsid w:val="697E1668"/>
    <w:rsid w:val="69846082"/>
    <w:rsid w:val="698656C3"/>
    <w:rsid w:val="699229B0"/>
    <w:rsid w:val="6996372B"/>
    <w:rsid w:val="69A4753A"/>
    <w:rsid w:val="69CF092A"/>
    <w:rsid w:val="69D62218"/>
    <w:rsid w:val="69D64B03"/>
    <w:rsid w:val="69E9176D"/>
    <w:rsid w:val="69F561F1"/>
    <w:rsid w:val="6A1937DF"/>
    <w:rsid w:val="6A1E6C86"/>
    <w:rsid w:val="6A281C27"/>
    <w:rsid w:val="6A3B1DC3"/>
    <w:rsid w:val="6A416C8C"/>
    <w:rsid w:val="6A56352F"/>
    <w:rsid w:val="6A667468"/>
    <w:rsid w:val="6A836306"/>
    <w:rsid w:val="6A8D5F45"/>
    <w:rsid w:val="6A90026A"/>
    <w:rsid w:val="6A933BB8"/>
    <w:rsid w:val="6A9756F2"/>
    <w:rsid w:val="6A9A5AB1"/>
    <w:rsid w:val="6A9B78E3"/>
    <w:rsid w:val="6AA41093"/>
    <w:rsid w:val="6ABC44A6"/>
    <w:rsid w:val="6AD9341F"/>
    <w:rsid w:val="6AEA18D7"/>
    <w:rsid w:val="6AFB1E97"/>
    <w:rsid w:val="6B040C56"/>
    <w:rsid w:val="6B1703DC"/>
    <w:rsid w:val="6B2470A4"/>
    <w:rsid w:val="6B2C21B0"/>
    <w:rsid w:val="6B374B4E"/>
    <w:rsid w:val="6B3F19AA"/>
    <w:rsid w:val="6B6D0020"/>
    <w:rsid w:val="6B7C3F4B"/>
    <w:rsid w:val="6B90229A"/>
    <w:rsid w:val="6B9C0998"/>
    <w:rsid w:val="6BB828FC"/>
    <w:rsid w:val="6BB840EC"/>
    <w:rsid w:val="6BC935A6"/>
    <w:rsid w:val="6BCB6A31"/>
    <w:rsid w:val="6BE20F62"/>
    <w:rsid w:val="6BE607C2"/>
    <w:rsid w:val="6C051AE4"/>
    <w:rsid w:val="6C076DE3"/>
    <w:rsid w:val="6C0C59DE"/>
    <w:rsid w:val="6C144A1C"/>
    <w:rsid w:val="6C1B6F0D"/>
    <w:rsid w:val="6C2118A5"/>
    <w:rsid w:val="6C4172A6"/>
    <w:rsid w:val="6C552BA1"/>
    <w:rsid w:val="6C5F50AA"/>
    <w:rsid w:val="6C8E3930"/>
    <w:rsid w:val="6C911E59"/>
    <w:rsid w:val="6CA87E58"/>
    <w:rsid w:val="6CBF7CC6"/>
    <w:rsid w:val="6CC45BED"/>
    <w:rsid w:val="6CD224C0"/>
    <w:rsid w:val="6D030286"/>
    <w:rsid w:val="6D166657"/>
    <w:rsid w:val="6D193FA5"/>
    <w:rsid w:val="6D2223CC"/>
    <w:rsid w:val="6D3B5913"/>
    <w:rsid w:val="6D3D74A7"/>
    <w:rsid w:val="6D5663AE"/>
    <w:rsid w:val="6D590056"/>
    <w:rsid w:val="6D5C71BC"/>
    <w:rsid w:val="6D670D49"/>
    <w:rsid w:val="6D737E0E"/>
    <w:rsid w:val="6D753A71"/>
    <w:rsid w:val="6DC531E8"/>
    <w:rsid w:val="6DC607B2"/>
    <w:rsid w:val="6DC8594E"/>
    <w:rsid w:val="6DCE4A14"/>
    <w:rsid w:val="6E166EF4"/>
    <w:rsid w:val="6E267849"/>
    <w:rsid w:val="6E2F6BA0"/>
    <w:rsid w:val="6E413BAA"/>
    <w:rsid w:val="6E487868"/>
    <w:rsid w:val="6E5C56F6"/>
    <w:rsid w:val="6E831A6A"/>
    <w:rsid w:val="6E943DAA"/>
    <w:rsid w:val="6EC806FD"/>
    <w:rsid w:val="6EDF75AA"/>
    <w:rsid w:val="6EF001AC"/>
    <w:rsid w:val="6EFB4B49"/>
    <w:rsid w:val="6EFC4C87"/>
    <w:rsid w:val="6EFD1619"/>
    <w:rsid w:val="6F3456AB"/>
    <w:rsid w:val="6F456AF3"/>
    <w:rsid w:val="6F4671C0"/>
    <w:rsid w:val="6F535B07"/>
    <w:rsid w:val="6F641E4B"/>
    <w:rsid w:val="6F65769C"/>
    <w:rsid w:val="6F6B5A46"/>
    <w:rsid w:val="6F7137E2"/>
    <w:rsid w:val="6F844231"/>
    <w:rsid w:val="6F96196D"/>
    <w:rsid w:val="6F962E26"/>
    <w:rsid w:val="6F9650B2"/>
    <w:rsid w:val="6FB826A9"/>
    <w:rsid w:val="6FB95FB9"/>
    <w:rsid w:val="6FBF79E9"/>
    <w:rsid w:val="6FC83820"/>
    <w:rsid w:val="6FCB38A4"/>
    <w:rsid w:val="6FD5292D"/>
    <w:rsid w:val="6FDD34D5"/>
    <w:rsid w:val="6FEE2350"/>
    <w:rsid w:val="6FFA59B5"/>
    <w:rsid w:val="6FFC45BD"/>
    <w:rsid w:val="70054717"/>
    <w:rsid w:val="7022654A"/>
    <w:rsid w:val="7052341D"/>
    <w:rsid w:val="7052606F"/>
    <w:rsid w:val="705942A4"/>
    <w:rsid w:val="705F304F"/>
    <w:rsid w:val="706D61E0"/>
    <w:rsid w:val="70913353"/>
    <w:rsid w:val="7097311C"/>
    <w:rsid w:val="70A41229"/>
    <w:rsid w:val="70B12FF8"/>
    <w:rsid w:val="70E73786"/>
    <w:rsid w:val="70F4018A"/>
    <w:rsid w:val="70F7744F"/>
    <w:rsid w:val="70FD6119"/>
    <w:rsid w:val="70FE5820"/>
    <w:rsid w:val="71322230"/>
    <w:rsid w:val="714750ED"/>
    <w:rsid w:val="71517560"/>
    <w:rsid w:val="71651D38"/>
    <w:rsid w:val="7166658A"/>
    <w:rsid w:val="71710F69"/>
    <w:rsid w:val="717C3DFE"/>
    <w:rsid w:val="717D0638"/>
    <w:rsid w:val="7192519C"/>
    <w:rsid w:val="719A72BE"/>
    <w:rsid w:val="71A85911"/>
    <w:rsid w:val="71C20F81"/>
    <w:rsid w:val="71D7407D"/>
    <w:rsid w:val="71DE328D"/>
    <w:rsid w:val="71F3064C"/>
    <w:rsid w:val="72007CE5"/>
    <w:rsid w:val="72051E82"/>
    <w:rsid w:val="720D6E33"/>
    <w:rsid w:val="72405039"/>
    <w:rsid w:val="72443B8A"/>
    <w:rsid w:val="72482394"/>
    <w:rsid w:val="72524F52"/>
    <w:rsid w:val="72716A28"/>
    <w:rsid w:val="727B6960"/>
    <w:rsid w:val="728271B1"/>
    <w:rsid w:val="72907126"/>
    <w:rsid w:val="72A61965"/>
    <w:rsid w:val="72BD2DE9"/>
    <w:rsid w:val="72C929F7"/>
    <w:rsid w:val="72DA167A"/>
    <w:rsid w:val="72DC664C"/>
    <w:rsid w:val="72E5327F"/>
    <w:rsid w:val="72EF5DE7"/>
    <w:rsid w:val="72F93267"/>
    <w:rsid w:val="72FB384F"/>
    <w:rsid w:val="730E7658"/>
    <w:rsid w:val="73103835"/>
    <w:rsid w:val="73105BD1"/>
    <w:rsid w:val="73272663"/>
    <w:rsid w:val="73275D88"/>
    <w:rsid w:val="73297EF0"/>
    <w:rsid w:val="73321D65"/>
    <w:rsid w:val="73387ED5"/>
    <w:rsid w:val="734A4208"/>
    <w:rsid w:val="736216DB"/>
    <w:rsid w:val="737974B6"/>
    <w:rsid w:val="737F10C7"/>
    <w:rsid w:val="73BA696E"/>
    <w:rsid w:val="73E754A1"/>
    <w:rsid w:val="740E43BC"/>
    <w:rsid w:val="74435206"/>
    <w:rsid w:val="74461F2E"/>
    <w:rsid w:val="745414A2"/>
    <w:rsid w:val="745B61F3"/>
    <w:rsid w:val="748933EB"/>
    <w:rsid w:val="74994817"/>
    <w:rsid w:val="749A0AAD"/>
    <w:rsid w:val="749A2ACB"/>
    <w:rsid w:val="74AA7828"/>
    <w:rsid w:val="74C22430"/>
    <w:rsid w:val="74C7092D"/>
    <w:rsid w:val="74D52083"/>
    <w:rsid w:val="74E305B4"/>
    <w:rsid w:val="74EC74A2"/>
    <w:rsid w:val="74F655C7"/>
    <w:rsid w:val="751C72D9"/>
    <w:rsid w:val="751E4456"/>
    <w:rsid w:val="75284D66"/>
    <w:rsid w:val="75384C6B"/>
    <w:rsid w:val="754216A1"/>
    <w:rsid w:val="754312BA"/>
    <w:rsid w:val="754737A0"/>
    <w:rsid w:val="755D7E66"/>
    <w:rsid w:val="755E4801"/>
    <w:rsid w:val="757E4412"/>
    <w:rsid w:val="75873CD1"/>
    <w:rsid w:val="758D2674"/>
    <w:rsid w:val="759037F4"/>
    <w:rsid w:val="75936DA1"/>
    <w:rsid w:val="75A5586E"/>
    <w:rsid w:val="75A6683D"/>
    <w:rsid w:val="75B860EF"/>
    <w:rsid w:val="75CF563A"/>
    <w:rsid w:val="75DF081A"/>
    <w:rsid w:val="762E270F"/>
    <w:rsid w:val="762F7589"/>
    <w:rsid w:val="765C2A56"/>
    <w:rsid w:val="767F061A"/>
    <w:rsid w:val="769203E0"/>
    <w:rsid w:val="76957A7B"/>
    <w:rsid w:val="76A251BA"/>
    <w:rsid w:val="76B83EC4"/>
    <w:rsid w:val="76D037E5"/>
    <w:rsid w:val="76E5641C"/>
    <w:rsid w:val="76ED49C8"/>
    <w:rsid w:val="76F53C7D"/>
    <w:rsid w:val="76FD1127"/>
    <w:rsid w:val="77382E2B"/>
    <w:rsid w:val="77385650"/>
    <w:rsid w:val="773C295A"/>
    <w:rsid w:val="77527DE9"/>
    <w:rsid w:val="77672570"/>
    <w:rsid w:val="77777BD7"/>
    <w:rsid w:val="777F39B9"/>
    <w:rsid w:val="77B35DB7"/>
    <w:rsid w:val="77C47BA5"/>
    <w:rsid w:val="77CC129A"/>
    <w:rsid w:val="77EC2220"/>
    <w:rsid w:val="77EE6798"/>
    <w:rsid w:val="77F613B3"/>
    <w:rsid w:val="78672BEF"/>
    <w:rsid w:val="78727530"/>
    <w:rsid w:val="78834B92"/>
    <w:rsid w:val="788578FE"/>
    <w:rsid w:val="78881E5F"/>
    <w:rsid w:val="7890290C"/>
    <w:rsid w:val="7895773C"/>
    <w:rsid w:val="78A65C44"/>
    <w:rsid w:val="78BA3350"/>
    <w:rsid w:val="78CB5A6E"/>
    <w:rsid w:val="78CF131D"/>
    <w:rsid w:val="78CF6F7A"/>
    <w:rsid w:val="78E77CF4"/>
    <w:rsid w:val="78F05349"/>
    <w:rsid w:val="7905735B"/>
    <w:rsid w:val="790A5AB0"/>
    <w:rsid w:val="79152CCF"/>
    <w:rsid w:val="79190D89"/>
    <w:rsid w:val="792705AA"/>
    <w:rsid w:val="7939249C"/>
    <w:rsid w:val="794E34BE"/>
    <w:rsid w:val="794E7E67"/>
    <w:rsid w:val="7959675D"/>
    <w:rsid w:val="795C0BE0"/>
    <w:rsid w:val="79714446"/>
    <w:rsid w:val="797815ED"/>
    <w:rsid w:val="79864AF7"/>
    <w:rsid w:val="798E1E15"/>
    <w:rsid w:val="79C52DBB"/>
    <w:rsid w:val="79CD15B3"/>
    <w:rsid w:val="79D14AA2"/>
    <w:rsid w:val="79E026CC"/>
    <w:rsid w:val="79F95A2B"/>
    <w:rsid w:val="7A070E57"/>
    <w:rsid w:val="7A1728E9"/>
    <w:rsid w:val="7A1B7788"/>
    <w:rsid w:val="7A206C54"/>
    <w:rsid w:val="7A537531"/>
    <w:rsid w:val="7A5B7880"/>
    <w:rsid w:val="7A5C733B"/>
    <w:rsid w:val="7A762A18"/>
    <w:rsid w:val="7A7C3FA0"/>
    <w:rsid w:val="7A992ED7"/>
    <w:rsid w:val="7ACF094F"/>
    <w:rsid w:val="7AD56EF3"/>
    <w:rsid w:val="7ADF54B4"/>
    <w:rsid w:val="7AEB6944"/>
    <w:rsid w:val="7AF15499"/>
    <w:rsid w:val="7B2C3CEE"/>
    <w:rsid w:val="7B473E0D"/>
    <w:rsid w:val="7B5D0E29"/>
    <w:rsid w:val="7B630921"/>
    <w:rsid w:val="7B6613AD"/>
    <w:rsid w:val="7B663C97"/>
    <w:rsid w:val="7B9F4AD8"/>
    <w:rsid w:val="7BA970F8"/>
    <w:rsid w:val="7BBC79E2"/>
    <w:rsid w:val="7BC0408E"/>
    <w:rsid w:val="7BEE3352"/>
    <w:rsid w:val="7C063FA0"/>
    <w:rsid w:val="7C1C1CD5"/>
    <w:rsid w:val="7C231C64"/>
    <w:rsid w:val="7C291CFB"/>
    <w:rsid w:val="7C385196"/>
    <w:rsid w:val="7C5D2357"/>
    <w:rsid w:val="7C774636"/>
    <w:rsid w:val="7C797E31"/>
    <w:rsid w:val="7C7A0281"/>
    <w:rsid w:val="7CAA6A4E"/>
    <w:rsid w:val="7CCA6EC5"/>
    <w:rsid w:val="7CD30EA0"/>
    <w:rsid w:val="7CE336C9"/>
    <w:rsid w:val="7CF12F7A"/>
    <w:rsid w:val="7D237CE3"/>
    <w:rsid w:val="7D2E30E3"/>
    <w:rsid w:val="7D553F14"/>
    <w:rsid w:val="7D6532DB"/>
    <w:rsid w:val="7D7A5C40"/>
    <w:rsid w:val="7D7C44A8"/>
    <w:rsid w:val="7D7E7F34"/>
    <w:rsid w:val="7D815654"/>
    <w:rsid w:val="7D991B72"/>
    <w:rsid w:val="7D995E43"/>
    <w:rsid w:val="7D9B6E7A"/>
    <w:rsid w:val="7D9E23B2"/>
    <w:rsid w:val="7DB21C41"/>
    <w:rsid w:val="7DC8481B"/>
    <w:rsid w:val="7DDB41BE"/>
    <w:rsid w:val="7E07457C"/>
    <w:rsid w:val="7E084458"/>
    <w:rsid w:val="7E0A7596"/>
    <w:rsid w:val="7E1F1335"/>
    <w:rsid w:val="7E334028"/>
    <w:rsid w:val="7E3E2059"/>
    <w:rsid w:val="7E521006"/>
    <w:rsid w:val="7E691B42"/>
    <w:rsid w:val="7E6C5FF4"/>
    <w:rsid w:val="7E7274A2"/>
    <w:rsid w:val="7E913F5A"/>
    <w:rsid w:val="7EA76E3C"/>
    <w:rsid w:val="7EB163CD"/>
    <w:rsid w:val="7EC34CC9"/>
    <w:rsid w:val="7EE730AC"/>
    <w:rsid w:val="7F13212E"/>
    <w:rsid w:val="7F19171A"/>
    <w:rsid w:val="7F1F7828"/>
    <w:rsid w:val="7F2413BB"/>
    <w:rsid w:val="7F3276FE"/>
    <w:rsid w:val="7F42500A"/>
    <w:rsid w:val="7F594DD9"/>
    <w:rsid w:val="7F6E0F27"/>
    <w:rsid w:val="7F9F49B0"/>
    <w:rsid w:val="7FAB35C4"/>
    <w:rsid w:val="7FAE1059"/>
    <w:rsid w:val="7FC206EF"/>
    <w:rsid w:val="7FC8136E"/>
    <w:rsid w:val="7FC81BA4"/>
    <w:rsid w:val="7FF3093C"/>
    <w:rsid w:val="7FF54E84"/>
    <w:rsid w:val="DEBDF2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2"/>
    <w:qFormat/>
    <w:uiPriority w:val="0"/>
    <w:pPr>
      <w:keepNext/>
      <w:keepLines/>
      <w:spacing w:before="320" w:after="320"/>
      <w:jc w:val="center"/>
      <w:outlineLvl w:val="0"/>
    </w:pPr>
    <w:rPr>
      <w:rFonts w:ascii="Times New Roman" w:hAnsi="Times New Roman" w:eastAsia="黑体" w:cs="Times New Roman"/>
      <w:b/>
      <w:snapToGrid w:val="0"/>
      <w:kern w:val="0"/>
      <w:sz w:val="44"/>
      <w:szCs w:val="20"/>
    </w:rPr>
  </w:style>
  <w:style w:type="paragraph" w:styleId="3">
    <w:name w:val="heading 2"/>
    <w:basedOn w:val="1"/>
    <w:next w:val="1"/>
    <w:link w:val="31"/>
    <w:qFormat/>
    <w:uiPriority w:val="0"/>
    <w:pPr>
      <w:spacing w:before="100" w:beforeAutospacing="1" w:after="100" w:afterAutospacing="1"/>
      <w:jc w:val="left"/>
      <w:outlineLvl w:val="1"/>
    </w:pPr>
    <w:rPr>
      <w:rFonts w:hint="eastAsia" w:ascii="宋体" w:hAnsi="宋体" w:eastAsia="宋体" w:cs="Times New Roman"/>
      <w:b/>
      <w:kern w:val="0"/>
      <w:sz w:val="36"/>
      <w:szCs w:val="36"/>
    </w:rPr>
  </w:style>
  <w:style w:type="paragraph" w:styleId="4">
    <w:name w:val="heading 3"/>
    <w:basedOn w:val="1"/>
    <w:next w:val="1"/>
    <w:link w:val="36"/>
    <w:qFormat/>
    <w:uiPriority w:val="0"/>
    <w:pPr>
      <w:keepNext/>
      <w:keepLines/>
      <w:numPr>
        <w:ilvl w:val="2"/>
        <w:numId w:val="1"/>
      </w:numPr>
      <w:tabs>
        <w:tab w:val="left" w:pos="720"/>
      </w:tabs>
      <w:spacing w:before="260" w:after="260" w:line="416" w:lineRule="auto"/>
      <w:outlineLvl w:val="2"/>
    </w:pPr>
    <w:rPr>
      <w:rFonts w:ascii="Times New Roman" w:hAnsi="Times New Roman" w:eastAsia="宋体" w:cs="Times New Roman"/>
      <w:b/>
      <w:bCs/>
      <w:sz w:val="32"/>
      <w:szCs w:val="32"/>
    </w:rPr>
  </w:style>
  <w:style w:type="paragraph" w:styleId="5">
    <w:name w:val="heading 4"/>
    <w:basedOn w:val="1"/>
    <w:next w:val="1"/>
    <w:link w:val="38"/>
    <w:qFormat/>
    <w:uiPriority w:val="0"/>
    <w:pPr>
      <w:keepNext/>
      <w:keepLines/>
      <w:spacing w:before="280" w:after="290" w:line="376" w:lineRule="auto"/>
      <w:outlineLvl w:val="3"/>
    </w:pPr>
    <w:rPr>
      <w:rFonts w:ascii="Arial" w:hAnsi="Arial" w:eastAsia="黑体" w:cs="Times New Roman"/>
      <w:b/>
      <w:bCs/>
      <w:sz w:val="28"/>
      <w:szCs w:val="28"/>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style>
  <w:style w:type="paragraph" w:styleId="7">
    <w:name w:val="Document Map"/>
    <w:basedOn w:val="1"/>
    <w:link w:val="48"/>
    <w:semiHidden/>
    <w:unhideWhenUsed/>
    <w:qFormat/>
    <w:uiPriority w:val="99"/>
    <w:rPr>
      <w:rFonts w:ascii="宋体" w:eastAsia="宋体"/>
      <w:sz w:val="18"/>
      <w:szCs w:val="18"/>
    </w:rPr>
  </w:style>
  <w:style w:type="paragraph" w:styleId="8">
    <w:name w:val="annotation text"/>
    <w:basedOn w:val="1"/>
    <w:link w:val="33"/>
    <w:semiHidden/>
    <w:unhideWhenUsed/>
    <w:qFormat/>
    <w:uiPriority w:val="99"/>
    <w:pPr>
      <w:jc w:val="left"/>
    </w:pPr>
  </w:style>
  <w:style w:type="paragraph" w:styleId="9">
    <w:name w:val="toc 5"/>
    <w:basedOn w:val="1"/>
    <w:next w:val="1"/>
    <w:unhideWhenUsed/>
    <w:qFormat/>
    <w:uiPriority w:val="39"/>
    <w:pPr>
      <w:ind w:left="1680" w:leftChars="800"/>
    </w:pPr>
  </w:style>
  <w:style w:type="paragraph" w:styleId="10">
    <w:name w:val="toc 3"/>
    <w:basedOn w:val="1"/>
    <w:next w:val="1"/>
    <w:unhideWhenUsed/>
    <w:qFormat/>
    <w:uiPriority w:val="39"/>
    <w:pPr>
      <w:ind w:left="840" w:leftChars="400"/>
    </w:pPr>
  </w:style>
  <w:style w:type="paragraph" w:styleId="11">
    <w:name w:val="Plain Text"/>
    <w:basedOn w:val="1"/>
    <w:next w:val="1"/>
    <w:qFormat/>
    <w:uiPriority w:val="0"/>
    <w:rPr>
      <w:rFonts w:ascii="宋体" w:cs="Courier New"/>
      <w:szCs w:val="21"/>
    </w:rPr>
  </w:style>
  <w:style w:type="paragraph" w:styleId="12">
    <w:name w:val="toc 8"/>
    <w:basedOn w:val="1"/>
    <w:next w:val="1"/>
    <w:unhideWhenUsed/>
    <w:qFormat/>
    <w:uiPriority w:val="39"/>
    <w:pPr>
      <w:ind w:left="2940" w:leftChars="1400"/>
    </w:pPr>
  </w:style>
  <w:style w:type="paragraph" w:styleId="13">
    <w:name w:val="Date"/>
    <w:basedOn w:val="1"/>
    <w:next w:val="1"/>
    <w:link w:val="30"/>
    <w:semiHidden/>
    <w:unhideWhenUsed/>
    <w:qFormat/>
    <w:uiPriority w:val="99"/>
    <w:pPr>
      <w:ind w:left="100" w:leftChars="2500"/>
    </w:pPr>
  </w:style>
  <w:style w:type="paragraph" w:styleId="14">
    <w:name w:val="Balloon Text"/>
    <w:basedOn w:val="1"/>
    <w:link w:val="35"/>
    <w:semiHidden/>
    <w:unhideWhenUsed/>
    <w:qFormat/>
    <w:uiPriority w:val="99"/>
    <w:rPr>
      <w:sz w:val="18"/>
      <w:szCs w:val="18"/>
    </w:rPr>
  </w:style>
  <w:style w:type="paragraph" w:styleId="15">
    <w:name w:val="footer"/>
    <w:basedOn w:val="1"/>
    <w:semiHidden/>
    <w:unhideWhenUsed/>
    <w:qFormat/>
    <w:uiPriority w:val="99"/>
    <w:pPr>
      <w:tabs>
        <w:tab w:val="center" w:pos="4153"/>
        <w:tab w:val="right" w:pos="8306"/>
      </w:tabs>
      <w:snapToGrid w:val="0"/>
      <w:jc w:val="left"/>
    </w:pPr>
    <w:rPr>
      <w:sz w:val="18"/>
    </w:rPr>
  </w:style>
  <w:style w:type="paragraph" w:styleId="16">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7">
    <w:name w:val="toc 1"/>
    <w:basedOn w:val="1"/>
    <w:next w:val="1"/>
    <w:unhideWhenUsed/>
    <w:qFormat/>
    <w:uiPriority w:val="39"/>
  </w:style>
  <w:style w:type="paragraph" w:styleId="18">
    <w:name w:val="toc 4"/>
    <w:basedOn w:val="1"/>
    <w:next w:val="1"/>
    <w:unhideWhenUsed/>
    <w:qFormat/>
    <w:uiPriority w:val="39"/>
    <w:pPr>
      <w:ind w:left="1260" w:leftChars="600"/>
    </w:pPr>
  </w:style>
  <w:style w:type="paragraph" w:styleId="19">
    <w:name w:val="toc 6"/>
    <w:basedOn w:val="1"/>
    <w:next w:val="1"/>
    <w:unhideWhenUsed/>
    <w:qFormat/>
    <w:uiPriority w:val="39"/>
    <w:pPr>
      <w:ind w:left="2100" w:leftChars="1000"/>
    </w:pPr>
  </w:style>
  <w:style w:type="paragraph" w:styleId="20">
    <w:name w:val="toc 2"/>
    <w:basedOn w:val="1"/>
    <w:next w:val="1"/>
    <w:unhideWhenUsed/>
    <w:qFormat/>
    <w:uiPriority w:val="39"/>
    <w:pPr>
      <w:ind w:left="420" w:leftChars="200"/>
    </w:pPr>
  </w:style>
  <w:style w:type="paragraph" w:styleId="21">
    <w:name w:val="toc 9"/>
    <w:basedOn w:val="1"/>
    <w:next w:val="1"/>
    <w:unhideWhenUsed/>
    <w:qFormat/>
    <w:uiPriority w:val="39"/>
    <w:pPr>
      <w:ind w:left="3360" w:leftChars="1600"/>
    </w:pPr>
  </w:style>
  <w:style w:type="paragraph" w:styleId="22">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3">
    <w:name w:val="annotation subject"/>
    <w:basedOn w:val="8"/>
    <w:next w:val="8"/>
    <w:link w:val="34"/>
    <w:semiHidden/>
    <w:unhideWhenUsed/>
    <w:qFormat/>
    <w:uiPriority w:val="99"/>
    <w:rPr>
      <w:b/>
      <w:bCs/>
    </w:rPr>
  </w:style>
  <w:style w:type="table" w:styleId="25">
    <w:name w:val="Table Grid"/>
    <w:basedOn w:val="2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Strong"/>
    <w:basedOn w:val="26"/>
    <w:qFormat/>
    <w:uiPriority w:val="0"/>
    <w:rPr>
      <w:b/>
    </w:rPr>
  </w:style>
  <w:style w:type="character" w:styleId="28">
    <w:name w:val="Hyperlink"/>
    <w:qFormat/>
    <w:uiPriority w:val="99"/>
    <w:rPr>
      <w:color w:val="0000FF"/>
      <w:u w:val="single"/>
    </w:rPr>
  </w:style>
  <w:style w:type="character" w:styleId="29">
    <w:name w:val="annotation reference"/>
    <w:basedOn w:val="26"/>
    <w:semiHidden/>
    <w:unhideWhenUsed/>
    <w:qFormat/>
    <w:uiPriority w:val="99"/>
    <w:rPr>
      <w:sz w:val="21"/>
      <w:szCs w:val="21"/>
    </w:rPr>
  </w:style>
  <w:style w:type="character" w:customStyle="1" w:styleId="30">
    <w:name w:val="日期 Char"/>
    <w:basedOn w:val="26"/>
    <w:link w:val="13"/>
    <w:semiHidden/>
    <w:qFormat/>
    <w:uiPriority w:val="99"/>
  </w:style>
  <w:style w:type="character" w:customStyle="1" w:styleId="31">
    <w:name w:val="标题 2 Char"/>
    <w:basedOn w:val="26"/>
    <w:link w:val="3"/>
    <w:qFormat/>
    <w:uiPriority w:val="0"/>
    <w:rPr>
      <w:rFonts w:ascii="宋体" w:hAnsi="宋体" w:eastAsia="宋体" w:cs="Times New Roman"/>
      <w:b/>
      <w:kern w:val="0"/>
      <w:sz w:val="36"/>
      <w:szCs w:val="36"/>
    </w:rPr>
  </w:style>
  <w:style w:type="character" w:customStyle="1" w:styleId="32">
    <w:name w:val="标题 1 Char"/>
    <w:basedOn w:val="26"/>
    <w:link w:val="2"/>
    <w:qFormat/>
    <w:uiPriority w:val="0"/>
    <w:rPr>
      <w:rFonts w:ascii="Times New Roman" w:hAnsi="Times New Roman" w:eastAsia="黑体" w:cs="Times New Roman"/>
      <w:b/>
      <w:snapToGrid w:val="0"/>
      <w:kern w:val="0"/>
      <w:sz w:val="44"/>
      <w:szCs w:val="20"/>
    </w:rPr>
  </w:style>
  <w:style w:type="character" w:customStyle="1" w:styleId="33">
    <w:name w:val="批注文字 Char"/>
    <w:basedOn w:val="26"/>
    <w:link w:val="8"/>
    <w:semiHidden/>
    <w:qFormat/>
    <w:uiPriority w:val="99"/>
  </w:style>
  <w:style w:type="character" w:customStyle="1" w:styleId="34">
    <w:name w:val="批注主题 Char"/>
    <w:basedOn w:val="33"/>
    <w:link w:val="23"/>
    <w:semiHidden/>
    <w:qFormat/>
    <w:uiPriority w:val="99"/>
    <w:rPr>
      <w:b/>
      <w:bCs/>
    </w:rPr>
  </w:style>
  <w:style w:type="character" w:customStyle="1" w:styleId="35">
    <w:name w:val="批注框文本 Char"/>
    <w:basedOn w:val="26"/>
    <w:link w:val="14"/>
    <w:semiHidden/>
    <w:qFormat/>
    <w:uiPriority w:val="99"/>
    <w:rPr>
      <w:sz w:val="18"/>
      <w:szCs w:val="18"/>
    </w:rPr>
  </w:style>
  <w:style w:type="character" w:customStyle="1" w:styleId="36">
    <w:name w:val="标题 3 Char"/>
    <w:basedOn w:val="26"/>
    <w:link w:val="4"/>
    <w:qFormat/>
    <w:uiPriority w:val="0"/>
    <w:rPr>
      <w:b/>
      <w:bCs/>
      <w:kern w:val="2"/>
      <w:sz w:val="32"/>
      <w:szCs w:val="32"/>
    </w:rPr>
  </w:style>
  <w:style w:type="paragraph" w:styleId="37">
    <w:name w:val="List Paragraph"/>
    <w:basedOn w:val="1"/>
    <w:qFormat/>
    <w:uiPriority w:val="34"/>
    <w:pPr>
      <w:ind w:firstLine="420" w:firstLineChars="200"/>
    </w:pPr>
  </w:style>
  <w:style w:type="character" w:customStyle="1" w:styleId="38">
    <w:name w:val="标题 4 Char"/>
    <w:basedOn w:val="26"/>
    <w:link w:val="5"/>
    <w:qFormat/>
    <w:uiPriority w:val="0"/>
    <w:rPr>
      <w:rFonts w:ascii="Arial" w:hAnsi="Arial" w:eastAsia="黑体" w:cs="Times New Roman"/>
      <w:b/>
      <w:bCs/>
      <w:sz w:val="28"/>
      <w:szCs w:val="28"/>
    </w:rPr>
  </w:style>
  <w:style w:type="paragraph" w:customStyle="1" w:styleId="39">
    <w:name w:val="样式1-表格内容"/>
    <w:basedOn w:val="1"/>
    <w:qFormat/>
    <w:uiPriority w:val="0"/>
    <w:pPr>
      <w:ind w:firstLine="420"/>
    </w:pPr>
    <w:rPr>
      <w:rFonts w:eastAsia="楷体"/>
      <w:sz w:val="24"/>
      <w:szCs w:val="21"/>
    </w:rPr>
  </w:style>
  <w:style w:type="paragraph" w:customStyle="1" w:styleId="40">
    <w:name w:val="图表名"/>
    <w:basedOn w:val="1"/>
    <w:qFormat/>
    <w:uiPriority w:val="0"/>
    <w:pPr>
      <w:spacing w:line="360" w:lineRule="auto"/>
      <w:jc w:val="center"/>
      <w:outlineLvl w:val="6"/>
    </w:pPr>
    <w:rPr>
      <w:b/>
      <w:sz w:val="24"/>
    </w:rPr>
  </w:style>
  <w:style w:type="character" w:customStyle="1" w:styleId="41">
    <w:name w:val="font21"/>
    <w:basedOn w:val="26"/>
    <w:qFormat/>
    <w:uiPriority w:val="0"/>
    <w:rPr>
      <w:rFonts w:hint="eastAsia" w:ascii="宋体" w:hAnsi="宋体" w:eastAsia="宋体" w:cs="宋体"/>
      <w:color w:val="000000"/>
      <w:sz w:val="22"/>
      <w:szCs w:val="22"/>
      <w:u w:val="none"/>
    </w:rPr>
  </w:style>
  <w:style w:type="character" w:customStyle="1" w:styleId="42">
    <w:name w:val="font41"/>
    <w:basedOn w:val="26"/>
    <w:qFormat/>
    <w:uiPriority w:val="0"/>
    <w:rPr>
      <w:rFonts w:hint="default" w:ascii="Times New Roman" w:hAnsi="Times New Roman" w:cs="Times New Roman"/>
      <w:color w:val="000000"/>
      <w:sz w:val="22"/>
      <w:szCs w:val="22"/>
      <w:u w:val="none"/>
    </w:rPr>
  </w:style>
  <w:style w:type="character" w:customStyle="1" w:styleId="43">
    <w:name w:val="font11"/>
    <w:basedOn w:val="26"/>
    <w:qFormat/>
    <w:uiPriority w:val="0"/>
    <w:rPr>
      <w:rFonts w:hint="eastAsia" w:ascii="宋体" w:hAnsi="宋体" w:eastAsia="宋体" w:cs="宋体"/>
      <w:color w:val="000000"/>
      <w:sz w:val="22"/>
      <w:szCs w:val="22"/>
      <w:u w:val="none"/>
    </w:rPr>
  </w:style>
  <w:style w:type="character" w:customStyle="1" w:styleId="44">
    <w:name w:val="font31"/>
    <w:basedOn w:val="26"/>
    <w:qFormat/>
    <w:uiPriority w:val="0"/>
    <w:rPr>
      <w:rFonts w:hint="eastAsia" w:ascii="宋体" w:hAnsi="宋体" w:eastAsia="宋体" w:cs="宋体"/>
      <w:color w:val="000000"/>
      <w:sz w:val="22"/>
      <w:szCs w:val="22"/>
      <w:u w:val="none"/>
    </w:rPr>
  </w:style>
  <w:style w:type="paragraph" w:customStyle="1" w:styleId="45">
    <w:name w:val="Default"/>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paragraph" w:customStyle="1" w:styleId="46">
    <w:name w:val="Table Text"/>
    <w:basedOn w:val="1"/>
    <w:semiHidden/>
    <w:qFormat/>
    <w:uiPriority w:val="0"/>
    <w:rPr>
      <w:rFonts w:ascii="宋体" w:hAnsi="宋体" w:eastAsia="宋体" w:cs="宋体"/>
      <w:sz w:val="28"/>
      <w:szCs w:val="28"/>
      <w:lang w:eastAsia="en-US"/>
    </w:rPr>
  </w:style>
  <w:style w:type="table" w:customStyle="1" w:styleId="47">
    <w:name w:val="Table Normal"/>
    <w:semiHidden/>
    <w:unhideWhenUsed/>
    <w:qFormat/>
    <w:uiPriority w:val="0"/>
    <w:tblPr>
      <w:tblCellMar>
        <w:top w:w="0" w:type="dxa"/>
        <w:left w:w="0" w:type="dxa"/>
        <w:bottom w:w="0" w:type="dxa"/>
        <w:right w:w="0" w:type="dxa"/>
      </w:tblCellMar>
    </w:tblPr>
  </w:style>
  <w:style w:type="character" w:customStyle="1" w:styleId="48">
    <w:name w:val="文档结构图 Char"/>
    <w:basedOn w:val="26"/>
    <w:link w:val="7"/>
    <w:semiHidden/>
    <w:qFormat/>
    <w:uiPriority w:val="99"/>
    <w:rPr>
      <w:rFonts w:ascii="宋体" w:hAnsiTheme="minorHAnsi" w:cstheme="minorBidi"/>
      <w:kern w:val="2"/>
      <w:sz w:val="18"/>
      <w:szCs w:val="18"/>
    </w:rPr>
  </w:style>
  <w:style w:type="character" w:customStyle="1" w:styleId="49">
    <w:name w:val="container-bhqngo"/>
    <w:basedOn w:val="26"/>
    <w:qFormat/>
    <w:uiPriority w:val="0"/>
  </w:style>
  <w:style w:type="paragraph" w:customStyle="1" w:styleId="50">
    <w:name w:val="表标题"/>
    <w:basedOn w:val="1"/>
    <w:next w:val="1"/>
    <w:qFormat/>
    <w:uiPriority w:val="0"/>
    <w:pPr>
      <w:adjustRightInd w:val="0"/>
      <w:snapToGrid w:val="0"/>
      <w:spacing w:beforeLines="100" w:afterLines="20"/>
      <w:jc w:val="center"/>
    </w:pPr>
    <w:rPr>
      <w:rFonts w:eastAsia="黑体"/>
      <w:snapToGrid w:val="0"/>
      <w:kern w:val="0"/>
      <w:sz w:val="28"/>
    </w:rPr>
  </w:style>
  <w:style w:type="character" w:customStyle="1" w:styleId="51">
    <w:name w:val="font01"/>
    <w:basedOn w:val="26"/>
    <w:qFormat/>
    <w:uiPriority w:val="0"/>
    <w:rPr>
      <w:rFonts w:hint="default" w:ascii="Times New Roman" w:hAnsi="Times New Roman" w:cs="Times New Roman"/>
      <w:color w:val="000000"/>
      <w:sz w:val="22"/>
      <w:szCs w:val="22"/>
      <w:u w:val="none"/>
    </w:rPr>
  </w:style>
  <w:style w:type="character" w:customStyle="1" w:styleId="52">
    <w:name w:val="doc_title"/>
    <w:basedOn w:val="26"/>
    <w:qFormat/>
    <w:uiPriority w:val="0"/>
  </w:style>
  <w:style w:type="character" w:customStyle="1" w:styleId="53">
    <w:name w:val="font51"/>
    <w:basedOn w:val="26"/>
    <w:qFormat/>
    <w:uiPriority w:val="0"/>
    <w:rPr>
      <w:rFonts w:hint="eastAsia" w:ascii="宋体" w:hAnsi="宋体" w:eastAsia="宋体" w:cs="宋体"/>
      <w:color w:val="000000"/>
      <w:sz w:val="20"/>
      <w:szCs w:val="20"/>
      <w:u w:val="none"/>
    </w:rPr>
  </w:style>
  <w:style w:type="character" w:customStyle="1" w:styleId="54">
    <w:name w:val="font71"/>
    <w:basedOn w:val="26"/>
    <w:qFormat/>
    <w:uiPriority w:val="0"/>
    <w:rPr>
      <w:rFonts w:hint="default" w:ascii="Times New Roman" w:hAnsi="Times New Roman" w:cs="Times New Roman"/>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Fifth Edition"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552DA34-F42A-4A1E-8405-2115002C2312}">
  <ds:schemaRefs/>
</ds:datastoreItem>
</file>

<file path=docProps/app.xml><?xml version="1.0" encoding="utf-8"?>
<Properties xmlns="http://schemas.openxmlformats.org/officeDocument/2006/extended-properties" xmlns:vt="http://schemas.openxmlformats.org/officeDocument/2006/docPropsVTypes">
  <Template>Normal</Template>
  <Pages>149</Pages>
  <Words>19272</Words>
  <Characters>109853</Characters>
  <Lines>915</Lines>
  <Paragraphs>257</Paragraphs>
  <TotalTime>26</TotalTime>
  <ScaleCrop>false</ScaleCrop>
  <LinksUpToDate>false</LinksUpToDate>
  <CharactersWithSpaces>128868</CharactersWithSpaces>
  <Application>WPS Office_12.1.2.22550_F1E327BC-269C-435d-A152-05C5408002CA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2026-04-04T00:49:00Z</dcterms:created>
  <dc:creator>YY</dc:creator>
  <cp:lastModifiedBy>user</cp:lastModifiedBy>
  <dcterms:modified xsi:type="dcterms:W3CDTF">2026-06-15T11:02:13Z</dcterms:modified>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2052-12.1.2.22550</vt:lpwstr>
  </property>
  <property fmtid="{D5CDD505-2E9C-101B-9397-08002B2CF9AE}" pid="3" name="KSOTemplateDocerSaveRecord">
    <vt:lpwstr>eyJoZGlkIjoiNGU5YTk2NWU3OTRhNTU0YjZlNWE0ODExMjY4YzM0MTgiLCJ1c2VySWQiOiIzMDczNTQ1MjUifQ==</vt:lpwstr>
  </property>
  <property fmtid="{D5CDD505-2E9C-101B-9397-08002B2CF9AE}" pid="4" name="ICV">
    <vt:lpwstr>A43897DE5461474AA7BBA01314558764_13</vt:lpwstr>
  </property>
</Properties>
</file>